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B3C4" w14:textId="27982473" w:rsidR="00682EC3" w:rsidRPr="00826FED" w:rsidRDefault="00826FED" w:rsidP="000C321B">
      <w:pPr>
        <w:shd w:val="clear" w:color="auto" w:fill="FFFFFF"/>
        <w:spacing w:after="240"/>
        <w:jc w:val="both"/>
        <w:outlineLvl w:val="0"/>
        <w:rPr>
          <w:rFonts w:eastAsia="Calibri" w:cs="Arial"/>
          <w:b/>
          <w:color w:val="E31C39"/>
          <w:kern w:val="36"/>
          <w:sz w:val="40"/>
          <w:szCs w:val="40"/>
          <w:lang w:val="es-ES"/>
        </w:rPr>
      </w:pPr>
      <w:r w:rsidRPr="00826FED">
        <w:rPr>
          <w:rFonts w:eastAsia="Calibri" w:cs="Arial"/>
          <w:b/>
          <w:color w:val="E31C39"/>
          <w:kern w:val="36"/>
          <w:sz w:val="40"/>
          <w:szCs w:val="40"/>
          <w:lang w:val="es-ES"/>
        </w:rPr>
        <w:t xml:space="preserve">Bases reguladoras de la </w:t>
      </w:r>
      <w:r w:rsidR="0072210F">
        <w:rPr>
          <w:rFonts w:eastAsia="Calibri" w:cs="Arial"/>
          <w:b/>
          <w:color w:val="E31C39"/>
          <w:kern w:val="36"/>
          <w:sz w:val="40"/>
          <w:szCs w:val="40"/>
          <w:lang w:val="es-ES"/>
        </w:rPr>
        <w:t>C</w:t>
      </w:r>
      <w:r w:rsidRPr="00826FED">
        <w:rPr>
          <w:rFonts w:eastAsia="Calibri" w:cs="Arial"/>
          <w:b/>
          <w:color w:val="E31C39"/>
          <w:kern w:val="36"/>
          <w:sz w:val="40"/>
          <w:szCs w:val="40"/>
          <w:lang w:val="es-ES"/>
        </w:rPr>
        <w:t>onvocatoria</w:t>
      </w:r>
    </w:p>
    <w:p w14:paraId="3A1BF40F" w14:textId="690AF735" w:rsidR="00826FED" w:rsidRPr="00826FED" w:rsidRDefault="00826FED" w:rsidP="00826FED">
      <w:pPr>
        <w:pStyle w:val="Contentsheading"/>
        <w:rPr>
          <w:rFonts w:asciiTheme="minorHAnsi" w:eastAsia="Calibri" w:hAnsiTheme="minorHAnsi"/>
          <w:lang w:val="es-ES"/>
        </w:rPr>
      </w:pPr>
      <w:r w:rsidRPr="00826FED">
        <w:rPr>
          <w:rFonts w:asciiTheme="minorHAnsi" w:eastAsia="Calibri" w:hAnsiTheme="minorHAnsi"/>
          <w:lang w:val="es-ES"/>
        </w:rPr>
        <w:t>Becas ViiV “Modelo óptimo de atención al paciente con</w:t>
      </w:r>
      <w:r w:rsidR="00163118">
        <w:rPr>
          <w:rFonts w:asciiTheme="minorHAnsi" w:eastAsia="Calibri" w:hAnsiTheme="minorHAnsi"/>
          <w:lang w:val="es-ES"/>
        </w:rPr>
        <w:t xml:space="preserve"> infección por el</w:t>
      </w:r>
      <w:r w:rsidRPr="00826FED">
        <w:rPr>
          <w:rFonts w:asciiTheme="minorHAnsi" w:eastAsia="Calibri" w:hAnsiTheme="minorHAnsi"/>
          <w:lang w:val="es-ES"/>
        </w:rPr>
        <w:t xml:space="preserve"> VIH”</w:t>
      </w:r>
    </w:p>
    <w:p w14:paraId="0BB2E304" w14:textId="4D3CE37F" w:rsidR="00826FED" w:rsidRPr="00826FED" w:rsidRDefault="00826FED" w:rsidP="00826FED">
      <w:pPr>
        <w:pStyle w:val="Heading12lines"/>
        <w:rPr>
          <w:rFonts w:asciiTheme="minorHAnsi" w:eastAsia="Calibri" w:hAnsiTheme="minorHAnsi"/>
          <w:lang w:val="es-ES"/>
        </w:rPr>
      </w:pPr>
      <w:r w:rsidRPr="00826FED">
        <w:rPr>
          <w:rFonts w:asciiTheme="minorHAnsi" w:eastAsia="Calibri" w:hAnsiTheme="minorHAnsi"/>
          <w:lang w:val="es-ES"/>
        </w:rPr>
        <w:t>1. Presentación</w:t>
      </w:r>
    </w:p>
    <w:p w14:paraId="33F062B8" w14:textId="092F26ED" w:rsidR="00826FED" w:rsidRPr="00826FED" w:rsidRDefault="00826FED" w:rsidP="00826FED">
      <w:pPr>
        <w:rPr>
          <w:lang w:val="es-ES"/>
        </w:rPr>
      </w:pPr>
    </w:p>
    <w:p w14:paraId="533561BC" w14:textId="70F2C24D" w:rsidR="008B7FCA" w:rsidRPr="008B7FCA" w:rsidRDefault="008B7FCA" w:rsidP="008B7FCA">
      <w:pPr>
        <w:jc w:val="both"/>
        <w:rPr>
          <w:lang w:val="es-ES"/>
        </w:rPr>
      </w:pPr>
      <w:r w:rsidRPr="008B7FCA">
        <w:rPr>
          <w:lang w:val="es-ES"/>
        </w:rPr>
        <w:t>Desde el comienzo de la epidemia del VIH, los modelos de atención del paciente con</w:t>
      </w:r>
      <w:r w:rsidR="00892048">
        <w:rPr>
          <w:lang w:val="es-ES"/>
        </w:rPr>
        <w:t xml:space="preserve"> infección por el</w:t>
      </w:r>
      <w:r w:rsidRPr="008B7FCA">
        <w:rPr>
          <w:lang w:val="es-ES"/>
        </w:rPr>
        <w:t xml:space="preserve"> VIH han sido modificados a medida que las necesidades de los pacientes y las comunidades evolucionaban. </w:t>
      </w:r>
    </w:p>
    <w:p w14:paraId="41F35ABD" w14:textId="14A01EC7" w:rsidR="008B7FCA" w:rsidRPr="008B7FCA" w:rsidRDefault="008B7FCA" w:rsidP="008B7FCA">
      <w:pPr>
        <w:jc w:val="both"/>
        <w:rPr>
          <w:lang w:val="es-ES"/>
        </w:rPr>
      </w:pPr>
      <w:r w:rsidRPr="008B7FCA">
        <w:rPr>
          <w:lang w:val="es-ES"/>
        </w:rPr>
        <w:t xml:space="preserve">A comienzos de la epidemia, la atención hospitalaria y los cuidados paliativos predominaron y, posteriormente, la aparición de una terapia eficaz para la infección por VIH condujo a una mayor especialización y a centrarse en </w:t>
      </w:r>
      <w:r w:rsidR="00291CFA">
        <w:rPr>
          <w:lang w:val="es-ES"/>
        </w:rPr>
        <w:t>la</w:t>
      </w:r>
      <w:r w:rsidRPr="008B7FCA">
        <w:rPr>
          <w:lang w:val="es-ES"/>
        </w:rPr>
        <w:t xml:space="preserve"> terapia antirretroviral como piedra angular del cuidado efectivo de los pacientes con</w:t>
      </w:r>
      <w:r w:rsidR="00C90778">
        <w:rPr>
          <w:lang w:val="es-ES"/>
        </w:rPr>
        <w:t xml:space="preserve"> infección por el</w:t>
      </w:r>
      <w:r w:rsidRPr="008B7FCA">
        <w:rPr>
          <w:lang w:val="es-ES"/>
        </w:rPr>
        <w:t xml:space="preserve"> VIH. </w:t>
      </w:r>
    </w:p>
    <w:p w14:paraId="2FECDEA6" w14:textId="773CB857" w:rsidR="008B7FCA" w:rsidRPr="008B7FCA" w:rsidRDefault="008B7FCA" w:rsidP="008B7FCA">
      <w:pPr>
        <w:jc w:val="both"/>
        <w:rPr>
          <w:lang w:val="es-ES"/>
        </w:rPr>
      </w:pPr>
      <w:r w:rsidRPr="008B7FCA">
        <w:rPr>
          <w:lang w:val="es-ES"/>
        </w:rPr>
        <w:t>En la actualidad, la cronificación de la infección, el envejecimiento de las personas con</w:t>
      </w:r>
      <w:r w:rsidR="00C90778">
        <w:rPr>
          <w:lang w:val="es-ES"/>
        </w:rPr>
        <w:t xml:space="preserve"> infección por el</w:t>
      </w:r>
      <w:r w:rsidRPr="008B7FCA">
        <w:rPr>
          <w:lang w:val="es-ES"/>
        </w:rPr>
        <w:t xml:space="preserve"> VIH, las comorbilidades o la polifarmacia exigen, entre otros elementos, una evolución en el modelo de atención para poder responder a esta complejidad de la forma más eficiente posible.</w:t>
      </w:r>
    </w:p>
    <w:p w14:paraId="2D2665EA" w14:textId="77777777" w:rsidR="008B7FCA" w:rsidRPr="008B7FCA" w:rsidRDefault="008B7FCA" w:rsidP="008B7FCA">
      <w:pPr>
        <w:jc w:val="both"/>
        <w:rPr>
          <w:lang w:val="es-ES"/>
        </w:rPr>
      </w:pPr>
      <w:r w:rsidRPr="008B7FCA">
        <w:rPr>
          <w:lang w:val="es-ES"/>
        </w:rPr>
        <w:t>En este sentido, durante los últimos años han surgido diferentes modelos de atención para pacientes con enfermedades crónicas que han demostrado que la mejora de sus resultados en salud no solo depende de buenos diagnósticos y tratamientos, sino también de la forma en la que se organiza y gestiona la asistencia y los cuidados que se prestan a estos pacientes.</w:t>
      </w:r>
    </w:p>
    <w:p w14:paraId="08CFA4E2" w14:textId="7F8C755E" w:rsidR="00826FED" w:rsidRPr="008B7FCA" w:rsidRDefault="008B7FCA" w:rsidP="00826FED">
      <w:pPr>
        <w:jc w:val="both"/>
        <w:rPr>
          <w:lang w:val="es-ES"/>
        </w:rPr>
      </w:pPr>
      <w:r w:rsidRPr="008B7FCA">
        <w:rPr>
          <w:lang w:val="es-ES"/>
        </w:rPr>
        <w:t>Estos modelos proponen</w:t>
      </w:r>
      <w:r w:rsidR="00DE3FE4">
        <w:rPr>
          <w:lang w:val="es-ES"/>
        </w:rPr>
        <w:t xml:space="preserve"> 6 </w:t>
      </w:r>
      <w:r w:rsidRPr="008B7FCA">
        <w:rPr>
          <w:lang w:val="es-ES"/>
        </w:rPr>
        <w:t>componentes esenciales que, trabajados de manera conjunta, consiguen una gestión eficaz y eficiente de las enfermedades crónicas. Estos componentes son:</w:t>
      </w:r>
    </w:p>
    <w:p w14:paraId="20F52DE6" w14:textId="35826927" w:rsidR="00826FED" w:rsidRPr="00826FED"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lang w:val="es-ES"/>
        </w:rPr>
      </w:pPr>
      <w:r w:rsidRPr="00826FED">
        <w:rPr>
          <w:rFonts w:asciiTheme="minorHAnsi" w:hAnsiTheme="minorHAnsi"/>
          <w:b/>
          <w:color w:val="071D49" w:themeColor="text1"/>
          <w:sz w:val="18"/>
          <w:szCs w:val="18"/>
          <w:lang w:val="es-ES"/>
        </w:rPr>
        <w:t>La organización de la atención sanitaria</w:t>
      </w:r>
      <w:r w:rsidR="00DE3FE4">
        <w:rPr>
          <w:rFonts w:asciiTheme="minorHAnsi" w:hAnsiTheme="minorHAnsi"/>
          <w:b/>
          <w:color w:val="071D49" w:themeColor="text1"/>
          <w:sz w:val="18"/>
          <w:szCs w:val="18"/>
          <w:lang w:val="es-ES"/>
        </w:rPr>
        <w:t>.</w:t>
      </w:r>
    </w:p>
    <w:p w14:paraId="78EE8214" w14:textId="6708BAFB" w:rsidR="00826FED" w:rsidRPr="00826FED"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lang w:val="es-ES"/>
        </w:rPr>
      </w:pPr>
      <w:r w:rsidRPr="00826FED">
        <w:rPr>
          <w:rFonts w:asciiTheme="minorHAnsi" w:hAnsiTheme="minorHAnsi"/>
          <w:b/>
          <w:color w:val="071D49" w:themeColor="text1"/>
          <w:sz w:val="18"/>
          <w:szCs w:val="18"/>
          <w:lang w:val="es-ES"/>
        </w:rPr>
        <w:t>El diseño del modelo de prestación de cuidados</w:t>
      </w:r>
      <w:r w:rsidR="00DE3FE4">
        <w:rPr>
          <w:rFonts w:asciiTheme="minorHAnsi" w:hAnsiTheme="minorHAnsi"/>
          <w:b/>
          <w:color w:val="071D49" w:themeColor="text1"/>
          <w:sz w:val="18"/>
          <w:szCs w:val="18"/>
          <w:lang w:val="es-ES"/>
        </w:rPr>
        <w:t>.</w:t>
      </w:r>
    </w:p>
    <w:p w14:paraId="71013BF0" w14:textId="54FA29C4" w:rsidR="00826FED" w:rsidRPr="00826FED"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lang w:val="es-ES"/>
        </w:rPr>
      </w:pPr>
      <w:r w:rsidRPr="00826FED">
        <w:rPr>
          <w:rFonts w:asciiTheme="minorHAnsi" w:hAnsiTheme="minorHAnsi"/>
          <w:b/>
          <w:color w:val="071D49" w:themeColor="text1"/>
          <w:sz w:val="18"/>
          <w:szCs w:val="18"/>
          <w:lang w:val="es-ES"/>
        </w:rPr>
        <w:t>El apoyo para la toma de decisiones clínicas</w:t>
      </w:r>
      <w:r w:rsidR="00DE3FE4">
        <w:rPr>
          <w:rFonts w:asciiTheme="minorHAnsi" w:hAnsiTheme="minorHAnsi"/>
          <w:b/>
          <w:color w:val="071D49" w:themeColor="text1"/>
          <w:sz w:val="18"/>
          <w:szCs w:val="18"/>
          <w:lang w:val="es-ES"/>
        </w:rPr>
        <w:t>.</w:t>
      </w:r>
    </w:p>
    <w:p w14:paraId="57655DFF" w14:textId="1C212457" w:rsidR="00826FED" w:rsidRPr="00DE3FE4"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lang w:val="es-ES"/>
        </w:rPr>
      </w:pPr>
      <w:r w:rsidRPr="00DE3FE4">
        <w:rPr>
          <w:rFonts w:asciiTheme="minorHAnsi" w:hAnsiTheme="minorHAnsi"/>
          <w:b/>
          <w:color w:val="071D49" w:themeColor="text1"/>
          <w:sz w:val="18"/>
          <w:szCs w:val="18"/>
          <w:lang w:val="es-ES"/>
        </w:rPr>
        <w:t>Los sistemas de información clínica</w:t>
      </w:r>
      <w:r w:rsidR="00DE3FE4" w:rsidRPr="00DE3FE4">
        <w:rPr>
          <w:rFonts w:asciiTheme="minorHAnsi" w:hAnsiTheme="minorHAnsi"/>
          <w:b/>
          <w:color w:val="071D49" w:themeColor="text1"/>
          <w:sz w:val="18"/>
          <w:szCs w:val="18"/>
          <w:lang w:val="es-ES"/>
        </w:rPr>
        <w:t>.</w:t>
      </w:r>
    </w:p>
    <w:p w14:paraId="66D3EA8F" w14:textId="3E7BD2CE" w:rsidR="00826FED" w:rsidRPr="00826FED"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rPr>
      </w:pPr>
      <w:r w:rsidRPr="00826FED">
        <w:rPr>
          <w:rFonts w:asciiTheme="minorHAnsi" w:hAnsiTheme="minorHAnsi"/>
          <w:b/>
          <w:color w:val="071D49" w:themeColor="text1"/>
          <w:sz w:val="18"/>
          <w:szCs w:val="18"/>
        </w:rPr>
        <w:t xml:space="preserve">El </w:t>
      </w:r>
      <w:proofErr w:type="spellStart"/>
      <w:r w:rsidRPr="00826FED">
        <w:rPr>
          <w:rFonts w:asciiTheme="minorHAnsi" w:hAnsiTheme="minorHAnsi"/>
          <w:b/>
          <w:color w:val="071D49" w:themeColor="text1"/>
          <w:sz w:val="18"/>
          <w:szCs w:val="18"/>
        </w:rPr>
        <w:t>apoyo</w:t>
      </w:r>
      <w:proofErr w:type="spellEnd"/>
      <w:r w:rsidRPr="00826FED">
        <w:rPr>
          <w:rFonts w:asciiTheme="minorHAnsi" w:hAnsiTheme="minorHAnsi"/>
          <w:b/>
          <w:color w:val="071D49" w:themeColor="text1"/>
          <w:sz w:val="18"/>
          <w:szCs w:val="18"/>
        </w:rPr>
        <w:t xml:space="preserve"> al </w:t>
      </w:r>
      <w:proofErr w:type="spellStart"/>
      <w:r w:rsidRPr="00826FED">
        <w:rPr>
          <w:rFonts w:asciiTheme="minorHAnsi" w:hAnsiTheme="minorHAnsi"/>
          <w:b/>
          <w:color w:val="071D49" w:themeColor="text1"/>
          <w:sz w:val="18"/>
          <w:szCs w:val="18"/>
        </w:rPr>
        <w:t>autocuidado</w:t>
      </w:r>
      <w:proofErr w:type="spellEnd"/>
      <w:r w:rsidR="00DE3FE4">
        <w:rPr>
          <w:rFonts w:asciiTheme="minorHAnsi" w:hAnsiTheme="minorHAnsi"/>
          <w:b/>
          <w:color w:val="071D49" w:themeColor="text1"/>
          <w:sz w:val="18"/>
          <w:szCs w:val="18"/>
        </w:rPr>
        <w:t>.</w:t>
      </w:r>
    </w:p>
    <w:p w14:paraId="6ADA5181" w14:textId="2F530154" w:rsidR="00826FED" w:rsidRPr="00DE3FE4" w:rsidRDefault="00826FED" w:rsidP="00826FED">
      <w:pPr>
        <w:pStyle w:val="ListParagraph"/>
        <w:numPr>
          <w:ilvl w:val="0"/>
          <w:numId w:val="9"/>
        </w:numPr>
        <w:spacing w:after="200" w:line="288" w:lineRule="auto"/>
        <w:jc w:val="both"/>
        <w:rPr>
          <w:rFonts w:asciiTheme="minorHAnsi" w:hAnsiTheme="minorHAnsi"/>
          <w:b/>
          <w:color w:val="071D49" w:themeColor="text1"/>
          <w:sz w:val="18"/>
          <w:szCs w:val="18"/>
          <w:lang w:val="es-ES"/>
        </w:rPr>
      </w:pPr>
      <w:r w:rsidRPr="00DE3FE4">
        <w:rPr>
          <w:rFonts w:asciiTheme="minorHAnsi" w:hAnsiTheme="minorHAnsi"/>
          <w:b/>
          <w:color w:val="071D49" w:themeColor="text1"/>
          <w:sz w:val="18"/>
          <w:szCs w:val="18"/>
          <w:lang w:val="es-ES"/>
        </w:rPr>
        <w:t>Los recursos y políticas comunitarias</w:t>
      </w:r>
      <w:r w:rsidR="00DE3FE4" w:rsidRPr="00DE3FE4">
        <w:rPr>
          <w:rFonts w:asciiTheme="minorHAnsi" w:hAnsiTheme="minorHAnsi"/>
          <w:b/>
          <w:color w:val="071D49" w:themeColor="text1"/>
          <w:sz w:val="18"/>
          <w:szCs w:val="18"/>
          <w:lang w:val="es-ES"/>
        </w:rPr>
        <w:t>.</w:t>
      </w:r>
    </w:p>
    <w:p w14:paraId="5475AEBC" w14:textId="550CD95F" w:rsidR="00826FED" w:rsidRPr="00826FED" w:rsidRDefault="00826FED" w:rsidP="00826FED">
      <w:pPr>
        <w:jc w:val="both"/>
        <w:rPr>
          <w:lang w:val="es-ES"/>
        </w:rPr>
      </w:pPr>
      <w:r w:rsidRPr="00826FED">
        <w:rPr>
          <w:lang w:val="es-ES"/>
        </w:rPr>
        <w:t xml:space="preserve">Tomando como base estos modelos, </w:t>
      </w:r>
      <w:proofErr w:type="spellStart"/>
      <w:r w:rsidRPr="00826FED">
        <w:rPr>
          <w:lang w:val="es-ES"/>
        </w:rPr>
        <w:t>ViiV</w:t>
      </w:r>
      <w:proofErr w:type="spellEnd"/>
      <w:r w:rsidRPr="00826FED">
        <w:rPr>
          <w:lang w:val="es-ES"/>
        </w:rPr>
        <w:t xml:space="preserve"> </w:t>
      </w:r>
      <w:proofErr w:type="spellStart"/>
      <w:r w:rsidRPr="00826FED">
        <w:rPr>
          <w:lang w:val="es-ES"/>
        </w:rPr>
        <w:t>Healthcare</w:t>
      </w:r>
      <w:proofErr w:type="spellEnd"/>
      <w:r w:rsidRPr="00826FED">
        <w:rPr>
          <w:lang w:val="es-ES"/>
        </w:rPr>
        <w:t xml:space="preserve"> y </w:t>
      </w:r>
      <w:proofErr w:type="spellStart"/>
      <w:r w:rsidRPr="00826FED">
        <w:rPr>
          <w:lang w:val="es-ES"/>
        </w:rPr>
        <w:t>GeSIDA</w:t>
      </w:r>
      <w:proofErr w:type="spellEnd"/>
      <w:r w:rsidRPr="00826FED">
        <w:rPr>
          <w:lang w:val="es-ES"/>
        </w:rPr>
        <w:t xml:space="preserve"> promovieron un proyecto en el año 2018 que estableció una hoja de ruta para ayudar a las distintas organizaciones sanitarias de España a avanzar en la construcción de un modelo óptimo de atención al paciente con</w:t>
      </w:r>
      <w:r w:rsidR="002D3C43">
        <w:rPr>
          <w:lang w:val="es-ES"/>
        </w:rPr>
        <w:t xml:space="preserve"> </w:t>
      </w:r>
      <w:r w:rsidRPr="00826FED">
        <w:rPr>
          <w:lang w:val="es-ES"/>
        </w:rPr>
        <w:t xml:space="preserve">VIH. El resultado de este proyecto, en el cual participó un grupo multidisciplinar, se resumen en el documento </w:t>
      </w:r>
      <w:r w:rsidRPr="00826FED">
        <w:rPr>
          <w:i/>
          <w:lang w:val="es-ES"/>
        </w:rPr>
        <w:t xml:space="preserve">“Descripción del modelo óptimo de atención al paciente con infección por </w:t>
      </w:r>
      <w:r w:rsidR="00C90778">
        <w:rPr>
          <w:i/>
          <w:lang w:val="es-ES"/>
        </w:rPr>
        <w:t xml:space="preserve">el </w:t>
      </w:r>
      <w:r w:rsidRPr="00826FED">
        <w:rPr>
          <w:i/>
          <w:lang w:val="es-ES"/>
        </w:rPr>
        <w:t>VIH”</w:t>
      </w:r>
      <w:r w:rsidRPr="00826FED">
        <w:rPr>
          <w:lang w:val="es-ES"/>
        </w:rPr>
        <w:t xml:space="preserve"> disponible en el siguiente enlace:</w:t>
      </w:r>
      <w:r>
        <w:rPr>
          <w:lang w:val="es-ES"/>
        </w:rPr>
        <w:t xml:space="preserve"> </w:t>
      </w:r>
      <w:r w:rsidRPr="00826FED">
        <w:rPr>
          <w:lang w:val="es-ES"/>
        </w:rPr>
        <w:t xml:space="preserve"> </w:t>
      </w:r>
      <w:hyperlink r:id="rId8" w:history="1">
        <w:r w:rsidRPr="00826FED">
          <w:rPr>
            <w:rStyle w:val="Hyperlink"/>
            <w:lang w:val="es-ES"/>
          </w:rPr>
          <w:t>https://www.viivhealthcare.com/es-es/bienvenido/national-policy/</w:t>
        </w:r>
      </w:hyperlink>
      <w:r w:rsidR="00DE3FE4">
        <w:rPr>
          <w:lang w:val="es-ES"/>
        </w:rPr>
        <w:t>.</w:t>
      </w:r>
    </w:p>
    <w:p w14:paraId="41BD394A" w14:textId="69A6BF80" w:rsidR="00826FED" w:rsidRDefault="0028143C" w:rsidP="00826FED">
      <w:pPr>
        <w:jc w:val="both"/>
        <w:rPr>
          <w:lang w:val="es-ES"/>
        </w:rPr>
      </w:pPr>
      <w:r>
        <w:rPr>
          <w:lang w:val="es-ES"/>
        </w:rPr>
        <w:t xml:space="preserve">En </w:t>
      </w:r>
      <w:r w:rsidR="00826FED" w:rsidRPr="00826FED">
        <w:rPr>
          <w:lang w:val="es-ES"/>
        </w:rPr>
        <w:t>ViiV Healthcare</w:t>
      </w:r>
      <w:r>
        <w:rPr>
          <w:lang w:val="es-ES"/>
        </w:rPr>
        <w:t xml:space="preserve"> </w:t>
      </w:r>
      <w:r w:rsidR="00826FED" w:rsidRPr="00826FED">
        <w:rPr>
          <w:lang w:val="es-ES"/>
        </w:rPr>
        <w:t xml:space="preserve">creemos firmemente que, para avanzar en la implementación del </w:t>
      </w:r>
      <w:r>
        <w:rPr>
          <w:lang w:val="es-ES"/>
        </w:rPr>
        <w:t xml:space="preserve">Modelo </w:t>
      </w:r>
      <w:r w:rsidR="00826FED" w:rsidRPr="00826FED">
        <w:rPr>
          <w:lang w:val="es-ES"/>
        </w:rPr>
        <w:t>óptimo de atención al paciente con</w:t>
      </w:r>
      <w:r>
        <w:rPr>
          <w:lang w:val="es-ES"/>
        </w:rPr>
        <w:t xml:space="preserve"> </w:t>
      </w:r>
      <w:r w:rsidR="00826FED" w:rsidRPr="00826FED">
        <w:rPr>
          <w:lang w:val="es-ES"/>
        </w:rPr>
        <w:t>VIH en España, no sólo es necesario describirlo, comunicarlo y difundirlo, sino que también se requiere un impulso para animar al diseño y la puesta en marcha de proyectos concretos que prueben avances y resultados, generen conocimiento y contribuyan a progresar en la construcción de este modelo “en el terreno”.</w:t>
      </w:r>
    </w:p>
    <w:p w14:paraId="2469A1B4" w14:textId="0EB3B730" w:rsidR="007C2F8A" w:rsidRPr="00D22AB5" w:rsidRDefault="007C2F8A" w:rsidP="00826FED">
      <w:pPr>
        <w:jc w:val="both"/>
        <w:rPr>
          <w:lang w:val="es-ES"/>
        </w:rPr>
      </w:pPr>
      <w:r>
        <w:rPr>
          <w:lang w:val="es-ES"/>
        </w:rPr>
        <w:t>L</w:t>
      </w:r>
      <w:r w:rsidR="001C51D2">
        <w:rPr>
          <w:lang w:val="es-ES"/>
        </w:rPr>
        <w:t xml:space="preserve">a pandemia de la </w:t>
      </w:r>
      <w:r w:rsidR="0028143C">
        <w:rPr>
          <w:lang w:val="es-ES"/>
        </w:rPr>
        <w:t>COVID</w:t>
      </w:r>
      <w:r w:rsidR="001C51D2">
        <w:rPr>
          <w:lang w:val="es-ES"/>
        </w:rPr>
        <w:t>-19</w:t>
      </w:r>
      <w:r>
        <w:rPr>
          <w:lang w:val="es-ES"/>
        </w:rPr>
        <w:t xml:space="preserve"> </w:t>
      </w:r>
      <w:r w:rsidR="001C51D2">
        <w:rPr>
          <w:lang w:val="es-ES"/>
        </w:rPr>
        <w:t xml:space="preserve">no ha hecho sino poner de manifiesto aún más, si cabe, la relevancia de apoyar a los agentes sanitarios y sociales en la implementación del modelo de atención a pacientes crónicos. </w:t>
      </w:r>
      <w:r w:rsidR="00B81763">
        <w:rPr>
          <w:lang w:val="es-ES"/>
        </w:rPr>
        <w:t xml:space="preserve">Ha </w:t>
      </w:r>
      <w:r w:rsidR="00B81763">
        <w:rPr>
          <w:lang w:val="es-ES"/>
        </w:rPr>
        <w:lastRenderedPageBreak/>
        <w:t>r</w:t>
      </w:r>
      <w:r w:rsidR="00B81763" w:rsidRPr="00B81763">
        <w:rPr>
          <w:lang w:val="es-ES"/>
        </w:rPr>
        <w:t xml:space="preserve">esaltado que </w:t>
      </w:r>
      <w:r w:rsidR="00C811AB">
        <w:rPr>
          <w:lang w:val="es-ES"/>
        </w:rPr>
        <w:t>los</w:t>
      </w:r>
      <w:r w:rsidR="00B81763" w:rsidRPr="00B81763">
        <w:rPr>
          <w:lang w:val="es-ES"/>
        </w:rPr>
        <w:t xml:space="preserve"> elementos de ese modelo se tornan imprescindibles en un contexto como el presente </w:t>
      </w:r>
      <w:r w:rsidR="00C811AB">
        <w:rPr>
          <w:lang w:val="es-ES"/>
        </w:rPr>
        <w:t xml:space="preserve">y </w:t>
      </w:r>
      <w:r w:rsidR="00B81763" w:rsidRPr="00B81763">
        <w:rPr>
          <w:lang w:val="es-ES"/>
        </w:rPr>
        <w:t>nos ofrece</w:t>
      </w:r>
      <w:r w:rsidR="00C811AB">
        <w:rPr>
          <w:lang w:val="es-ES"/>
        </w:rPr>
        <w:t>n</w:t>
      </w:r>
      <w:r w:rsidR="00B81763" w:rsidRPr="00B81763">
        <w:rPr>
          <w:lang w:val="es-ES"/>
        </w:rPr>
        <w:t xml:space="preserve"> oportunidades de innovación </w:t>
      </w:r>
      <w:r w:rsidR="00C811AB">
        <w:rPr>
          <w:lang w:val="es-ES"/>
        </w:rPr>
        <w:t>y</w:t>
      </w:r>
      <w:r w:rsidR="00B81763" w:rsidRPr="00B81763">
        <w:rPr>
          <w:lang w:val="es-ES"/>
        </w:rPr>
        <w:t xml:space="preserve"> transformación que </w:t>
      </w:r>
      <w:r w:rsidR="00B81763" w:rsidRPr="00D22AB5">
        <w:rPr>
          <w:lang w:val="es-ES"/>
        </w:rPr>
        <w:t>podemos aprovechar.</w:t>
      </w:r>
    </w:p>
    <w:p w14:paraId="134BA14E" w14:textId="14FA172C" w:rsidR="00826FED" w:rsidRPr="00826FED" w:rsidRDefault="00826FED" w:rsidP="00826FED">
      <w:pPr>
        <w:jc w:val="both"/>
        <w:rPr>
          <w:lang w:val="es-ES"/>
        </w:rPr>
      </w:pPr>
      <w:r w:rsidRPr="00D22AB5">
        <w:rPr>
          <w:lang w:val="es-ES"/>
        </w:rPr>
        <w:t xml:space="preserve">Bajo esta premisa, ViiV Healthcare lanza esta </w:t>
      </w:r>
      <w:r w:rsidR="00A413EC" w:rsidRPr="00435703">
        <w:rPr>
          <w:lang w:val="es-ES"/>
        </w:rPr>
        <w:t>6</w:t>
      </w:r>
      <w:r w:rsidR="0028143C" w:rsidRPr="00435703">
        <w:rPr>
          <w:lang w:val="es-ES"/>
        </w:rPr>
        <w:t>ª C</w:t>
      </w:r>
      <w:r w:rsidRPr="00435703">
        <w:rPr>
          <w:lang w:val="es-ES"/>
        </w:rPr>
        <w:t>onvocatoria</w:t>
      </w:r>
      <w:r w:rsidR="0028143C" w:rsidRPr="00D22AB5">
        <w:rPr>
          <w:lang w:val="es-ES"/>
        </w:rPr>
        <w:t xml:space="preserve"> </w:t>
      </w:r>
      <w:r w:rsidRPr="00D22AB5">
        <w:rPr>
          <w:lang w:val="es-ES"/>
        </w:rPr>
        <w:t>con</w:t>
      </w:r>
      <w:r w:rsidRPr="00826FED">
        <w:rPr>
          <w:lang w:val="es-ES"/>
        </w:rPr>
        <w:t xml:space="preserve"> el objetivo de estimular y acelerar la implantación del </w:t>
      </w:r>
      <w:r w:rsidR="0028143C">
        <w:rPr>
          <w:lang w:val="es-ES"/>
        </w:rPr>
        <w:t>M</w:t>
      </w:r>
      <w:r w:rsidRPr="00826FED">
        <w:rPr>
          <w:lang w:val="es-ES"/>
        </w:rPr>
        <w:t xml:space="preserve">odelo óptimo de atención </w:t>
      </w:r>
      <w:r w:rsidR="0028143C">
        <w:rPr>
          <w:lang w:val="es-ES"/>
        </w:rPr>
        <w:t xml:space="preserve">al paciente con VIH </w:t>
      </w:r>
      <w:r w:rsidRPr="00826FED">
        <w:rPr>
          <w:lang w:val="es-ES"/>
        </w:rPr>
        <w:t xml:space="preserve">en todo el territorio nacional. En concreto, los objetivos que se pretenden conseguir con esta </w:t>
      </w:r>
      <w:r w:rsidR="0072210F">
        <w:rPr>
          <w:lang w:val="es-ES"/>
        </w:rPr>
        <w:t>C</w:t>
      </w:r>
      <w:r w:rsidRPr="00826FED">
        <w:rPr>
          <w:lang w:val="es-ES"/>
        </w:rPr>
        <w:t>onvocatoria son:</w:t>
      </w:r>
    </w:p>
    <w:p w14:paraId="5777E382" w14:textId="561BCF8D" w:rsidR="00826FED" w:rsidRPr="00826FED" w:rsidRDefault="00826FED" w:rsidP="00826FED">
      <w:pPr>
        <w:pStyle w:val="ListParagraph"/>
        <w:numPr>
          <w:ilvl w:val="0"/>
          <w:numId w:val="13"/>
        </w:numPr>
        <w:spacing w:after="160" w:line="259"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 xml:space="preserve">Acelerar la implantación del </w:t>
      </w:r>
      <w:r w:rsidR="0028143C">
        <w:rPr>
          <w:rFonts w:asciiTheme="minorHAnsi" w:hAnsiTheme="minorHAnsi"/>
          <w:color w:val="071D49" w:themeColor="text1"/>
          <w:sz w:val="18"/>
          <w:szCs w:val="18"/>
          <w:lang w:val="es-ES"/>
        </w:rPr>
        <w:t>M</w:t>
      </w:r>
      <w:r w:rsidRPr="00826FED">
        <w:rPr>
          <w:rFonts w:asciiTheme="minorHAnsi" w:hAnsiTheme="minorHAnsi"/>
          <w:color w:val="071D49" w:themeColor="text1"/>
          <w:sz w:val="18"/>
          <w:szCs w:val="18"/>
          <w:lang w:val="es-ES"/>
        </w:rPr>
        <w:t>odelo óptimo de atención al paciente</w:t>
      </w:r>
      <w:r w:rsidR="0028143C">
        <w:rPr>
          <w:rFonts w:asciiTheme="minorHAnsi" w:hAnsiTheme="minorHAnsi"/>
          <w:color w:val="071D49" w:themeColor="text1"/>
          <w:sz w:val="18"/>
          <w:szCs w:val="18"/>
          <w:lang w:val="es-ES"/>
        </w:rPr>
        <w:t xml:space="preserve"> con</w:t>
      </w:r>
      <w:r w:rsidR="002D3C43">
        <w:rPr>
          <w:rFonts w:asciiTheme="minorHAnsi" w:hAnsiTheme="minorHAnsi"/>
          <w:color w:val="071D49" w:themeColor="text1"/>
          <w:sz w:val="18"/>
          <w:szCs w:val="18"/>
          <w:lang w:val="es-ES"/>
        </w:rPr>
        <w:t xml:space="preserve"> </w:t>
      </w:r>
      <w:r w:rsidRPr="00826FED">
        <w:rPr>
          <w:rFonts w:asciiTheme="minorHAnsi" w:hAnsiTheme="minorHAnsi"/>
          <w:color w:val="071D49" w:themeColor="text1"/>
          <w:sz w:val="18"/>
          <w:szCs w:val="18"/>
          <w:lang w:val="es-ES"/>
        </w:rPr>
        <w:t>VIH en todo el territorio nacional, con el fin último de mejorar su salud y calidad de vida, así como la eficiencia en la prestación de servicios y favorecer el intercambio de mejores prácticas entre distintos prestadores de servicios sanitarios.</w:t>
      </w:r>
    </w:p>
    <w:p w14:paraId="2D5FD894" w14:textId="6DDD384F" w:rsidR="00826FED" w:rsidRPr="00826FED" w:rsidRDefault="00826FED" w:rsidP="00826FED">
      <w:pPr>
        <w:pStyle w:val="ListParagraph"/>
        <w:numPr>
          <w:ilvl w:val="0"/>
          <w:numId w:val="13"/>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 xml:space="preserve">Estimular el diseño y puesta en marcha de proyectos concretos orientados a avanzar en la construcción del </w:t>
      </w:r>
      <w:r w:rsidR="0028143C">
        <w:rPr>
          <w:rFonts w:asciiTheme="minorHAnsi" w:hAnsiTheme="minorHAnsi"/>
          <w:color w:val="071D49" w:themeColor="text1"/>
          <w:sz w:val="18"/>
          <w:szCs w:val="18"/>
          <w:lang w:val="es-ES"/>
        </w:rPr>
        <w:t>M</w:t>
      </w:r>
      <w:r w:rsidRPr="00826FED">
        <w:rPr>
          <w:rFonts w:asciiTheme="minorHAnsi" w:hAnsiTheme="minorHAnsi"/>
          <w:color w:val="071D49" w:themeColor="text1"/>
          <w:sz w:val="18"/>
          <w:szCs w:val="18"/>
          <w:lang w:val="es-ES"/>
        </w:rPr>
        <w:t>odelo óptimo de atención al paciente</w:t>
      </w:r>
      <w:r w:rsidR="0028143C">
        <w:rPr>
          <w:rFonts w:asciiTheme="minorHAnsi" w:hAnsiTheme="minorHAnsi"/>
          <w:color w:val="071D49" w:themeColor="text1"/>
          <w:sz w:val="18"/>
          <w:szCs w:val="18"/>
          <w:lang w:val="es-ES"/>
        </w:rPr>
        <w:t xml:space="preserve"> con</w:t>
      </w:r>
      <w:r w:rsidR="002D3C43">
        <w:rPr>
          <w:rFonts w:asciiTheme="minorHAnsi" w:hAnsiTheme="minorHAnsi"/>
          <w:color w:val="071D49" w:themeColor="text1"/>
          <w:sz w:val="18"/>
          <w:szCs w:val="18"/>
          <w:lang w:val="es-ES"/>
        </w:rPr>
        <w:t xml:space="preserve"> </w:t>
      </w:r>
      <w:r w:rsidRPr="00826FED">
        <w:rPr>
          <w:rFonts w:asciiTheme="minorHAnsi" w:hAnsiTheme="minorHAnsi"/>
          <w:color w:val="071D49" w:themeColor="text1"/>
          <w:sz w:val="18"/>
          <w:szCs w:val="18"/>
          <w:lang w:val="es-ES"/>
        </w:rPr>
        <w:t>VIH.</w:t>
      </w:r>
    </w:p>
    <w:p w14:paraId="51048440" w14:textId="6DC64290" w:rsidR="00826FED" w:rsidRPr="00826FED" w:rsidRDefault="00826FED" w:rsidP="00826FED">
      <w:pPr>
        <w:pStyle w:val="ListParagraph"/>
        <w:numPr>
          <w:ilvl w:val="0"/>
          <w:numId w:val="13"/>
        </w:numPr>
        <w:spacing w:after="160" w:line="259"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 xml:space="preserve">Identificar y generar </w:t>
      </w:r>
      <w:r w:rsidRPr="00DE3FE4">
        <w:rPr>
          <w:rFonts w:asciiTheme="minorHAnsi" w:hAnsiTheme="minorHAnsi"/>
          <w:color w:val="071D49"/>
          <w:sz w:val="18"/>
          <w:szCs w:val="18"/>
          <w:lang w:val="es-ES"/>
        </w:rPr>
        <w:t>conocimiento</w:t>
      </w:r>
      <w:r w:rsidRPr="00826FED">
        <w:rPr>
          <w:rFonts w:asciiTheme="minorHAnsi" w:hAnsiTheme="minorHAnsi"/>
          <w:color w:val="071D49" w:themeColor="text1"/>
          <w:sz w:val="18"/>
          <w:szCs w:val="18"/>
          <w:lang w:val="es-ES"/>
        </w:rPr>
        <w:t xml:space="preserve"> en el terreno y facilitar la difusión de los mejores proyectos de transformación del </w:t>
      </w:r>
      <w:r w:rsidR="00E5649E">
        <w:rPr>
          <w:rFonts w:asciiTheme="minorHAnsi" w:hAnsiTheme="minorHAnsi"/>
          <w:color w:val="071D49" w:themeColor="text1"/>
          <w:sz w:val="18"/>
          <w:szCs w:val="18"/>
          <w:lang w:val="es-ES"/>
        </w:rPr>
        <w:t>M</w:t>
      </w:r>
      <w:r w:rsidRPr="00826FED">
        <w:rPr>
          <w:rFonts w:asciiTheme="minorHAnsi" w:hAnsiTheme="minorHAnsi"/>
          <w:color w:val="071D49" w:themeColor="text1"/>
          <w:sz w:val="18"/>
          <w:szCs w:val="18"/>
          <w:lang w:val="es-ES"/>
        </w:rPr>
        <w:t xml:space="preserve">odelo de atención </w:t>
      </w:r>
      <w:r w:rsidR="0028143C">
        <w:rPr>
          <w:rFonts w:asciiTheme="minorHAnsi" w:hAnsiTheme="minorHAnsi"/>
          <w:color w:val="071D49" w:themeColor="text1"/>
          <w:sz w:val="18"/>
          <w:szCs w:val="18"/>
          <w:lang w:val="es-ES"/>
        </w:rPr>
        <w:t>al paciente con</w:t>
      </w:r>
      <w:r w:rsidR="002D3C43">
        <w:rPr>
          <w:rFonts w:asciiTheme="minorHAnsi" w:hAnsiTheme="minorHAnsi"/>
          <w:color w:val="071D49" w:themeColor="text1"/>
          <w:sz w:val="18"/>
          <w:szCs w:val="18"/>
          <w:lang w:val="es-ES"/>
        </w:rPr>
        <w:t xml:space="preserve"> </w:t>
      </w:r>
      <w:r w:rsidRPr="00826FED">
        <w:rPr>
          <w:rFonts w:asciiTheme="minorHAnsi" w:hAnsiTheme="minorHAnsi"/>
          <w:color w:val="071D49" w:themeColor="text1"/>
          <w:sz w:val="18"/>
          <w:szCs w:val="18"/>
          <w:lang w:val="es-ES"/>
        </w:rPr>
        <w:t>VIH en diferentes lugares en España.</w:t>
      </w:r>
    </w:p>
    <w:p w14:paraId="355266F7" w14:textId="77777777" w:rsidR="00826FED" w:rsidRPr="00826FED" w:rsidRDefault="00826FED" w:rsidP="00826FED">
      <w:pPr>
        <w:jc w:val="both"/>
        <w:rPr>
          <w:color w:val="FF0000"/>
          <w:lang w:val="es-ES"/>
        </w:rPr>
      </w:pPr>
    </w:p>
    <w:p w14:paraId="3544D1CC" w14:textId="16D07EA1" w:rsidR="00826FED" w:rsidRPr="008B7FCA" w:rsidRDefault="00826FED" w:rsidP="00826FED">
      <w:pPr>
        <w:pStyle w:val="Heading12lines"/>
        <w:rPr>
          <w:lang w:val="es-ES"/>
        </w:rPr>
      </w:pPr>
      <w:r w:rsidRPr="008B7FCA">
        <w:rPr>
          <w:lang w:val="es-ES"/>
        </w:rPr>
        <w:t xml:space="preserve">2. Objeto de la </w:t>
      </w:r>
      <w:r w:rsidR="0072210F">
        <w:rPr>
          <w:lang w:val="es-ES"/>
        </w:rPr>
        <w:t>C</w:t>
      </w:r>
      <w:r w:rsidRPr="008B7FCA">
        <w:rPr>
          <w:lang w:val="es-ES"/>
        </w:rPr>
        <w:t>onvocatoria</w:t>
      </w:r>
    </w:p>
    <w:p w14:paraId="0E2B84C9" w14:textId="77777777" w:rsidR="00826FED" w:rsidRDefault="00826FED" w:rsidP="00826FED">
      <w:pPr>
        <w:jc w:val="both"/>
        <w:rPr>
          <w:lang w:val="es-ES"/>
        </w:rPr>
      </w:pPr>
    </w:p>
    <w:p w14:paraId="66B75CBA" w14:textId="73EBF2A0" w:rsidR="008B7FCA" w:rsidRPr="00D22AB5" w:rsidRDefault="008B7FCA" w:rsidP="008B7FCA">
      <w:pPr>
        <w:jc w:val="both"/>
        <w:rPr>
          <w:lang w:val="es-ES"/>
        </w:rPr>
      </w:pPr>
      <w:r w:rsidRPr="00D22AB5">
        <w:rPr>
          <w:lang w:val="es-ES"/>
        </w:rPr>
        <w:t xml:space="preserve">Las siguientes bases tienen por objeto establecer las condiciones, requisitos y normas de participación en la </w:t>
      </w:r>
      <w:r w:rsidR="00F2161A" w:rsidRPr="00696EEE">
        <w:rPr>
          <w:lang w:val="es-ES"/>
        </w:rPr>
        <w:t>6ª Convocatoria</w:t>
      </w:r>
      <w:r w:rsidR="00F2161A" w:rsidRPr="00D22AB5">
        <w:rPr>
          <w:lang w:val="es-ES"/>
        </w:rPr>
        <w:t xml:space="preserve"> </w:t>
      </w:r>
      <w:r w:rsidRPr="00D22AB5">
        <w:rPr>
          <w:lang w:val="es-ES"/>
        </w:rPr>
        <w:t>de becas que otorgará ViiV Healthcare en el marco de las Becas ViiV “</w:t>
      </w:r>
      <w:r w:rsidRPr="00D22AB5">
        <w:rPr>
          <w:i/>
          <w:iCs/>
          <w:lang w:val="es-ES"/>
        </w:rPr>
        <w:t>Modelo óptimo de atención al paciente con</w:t>
      </w:r>
      <w:r w:rsidR="00C90778" w:rsidRPr="00D22AB5">
        <w:rPr>
          <w:i/>
          <w:iCs/>
          <w:lang w:val="es-ES"/>
        </w:rPr>
        <w:t xml:space="preserve"> </w:t>
      </w:r>
      <w:r w:rsidRPr="00D22AB5">
        <w:rPr>
          <w:i/>
          <w:iCs/>
          <w:lang w:val="es-ES"/>
        </w:rPr>
        <w:t>VIH</w:t>
      </w:r>
      <w:r w:rsidRPr="00D22AB5">
        <w:rPr>
          <w:lang w:val="es-ES"/>
        </w:rPr>
        <w:t>”.</w:t>
      </w:r>
    </w:p>
    <w:p w14:paraId="236D305A" w14:textId="0F4B93A9" w:rsidR="008B7FCA" w:rsidRPr="008B7FCA" w:rsidRDefault="008B7FCA" w:rsidP="008B7FCA">
      <w:pPr>
        <w:jc w:val="both"/>
        <w:rPr>
          <w:lang w:val="es-ES"/>
        </w:rPr>
      </w:pPr>
      <w:r w:rsidRPr="00D22AB5">
        <w:rPr>
          <w:lang w:val="es-ES"/>
        </w:rPr>
        <w:t xml:space="preserve">El objetivo de esta </w:t>
      </w:r>
      <w:r w:rsidR="00F2161A" w:rsidRPr="00696EEE">
        <w:rPr>
          <w:lang w:val="es-ES"/>
        </w:rPr>
        <w:t>6ª Convocatoria</w:t>
      </w:r>
      <w:r w:rsidR="00F2161A" w:rsidRPr="00D22AB5">
        <w:rPr>
          <w:lang w:val="es-ES"/>
        </w:rPr>
        <w:t xml:space="preserve"> </w:t>
      </w:r>
      <w:r w:rsidRPr="00D22AB5">
        <w:rPr>
          <w:lang w:val="es-ES"/>
        </w:rPr>
        <w:t>de</w:t>
      </w:r>
      <w:r w:rsidRPr="008B7FCA">
        <w:rPr>
          <w:lang w:val="es-ES"/>
        </w:rPr>
        <w:t xml:space="preserve"> </w:t>
      </w:r>
      <w:r w:rsidR="00667585">
        <w:rPr>
          <w:lang w:val="es-ES"/>
        </w:rPr>
        <w:t>B</w:t>
      </w:r>
      <w:r w:rsidRPr="008B7FCA">
        <w:rPr>
          <w:lang w:val="es-ES"/>
        </w:rPr>
        <w:t>ecas es continuar la línea iniciada en el año 2019 apoyando aquellas iniciativas o proyectos que supongan un avance hacia la implementación del “</w:t>
      </w:r>
      <w:r w:rsidRPr="008B7FCA">
        <w:rPr>
          <w:i/>
          <w:iCs/>
          <w:lang w:val="es-ES"/>
        </w:rPr>
        <w:t xml:space="preserve">Modelo óptimo de atención al paciente </w:t>
      </w:r>
      <w:r w:rsidR="002D3C43">
        <w:rPr>
          <w:i/>
          <w:iCs/>
          <w:lang w:val="es-ES"/>
        </w:rPr>
        <w:t xml:space="preserve">con </w:t>
      </w:r>
      <w:r w:rsidRPr="008B7FCA">
        <w:rPr>
          <w:i/>
          <w:iCs/>
          <w:lang w:val="es-ES"/>
        </w:rPr>
        <w:t>VIH</w:t>
      </w:r>
      <w:r w:rsidRPr="008B7FCA">
        <w:rPr>
          <w:lang w:val="es-ES"/>
        </w:rPr>
        <w:t xml:space="preserve">” propuesto por </w:t>
      </w:r>
      <w:proofErr w:type="spellStart"/>
      <w:r w:rsidRPr="008B7FCA">
        <w:rPr>
          <w:lang w:val="es-ES"/>
        </w:rPr>
        <w:t>GeSIDA</w:t>
      </w:r>
      <w:proofErr w:type="spellEnd"/>
      <w:r w:rsidRPr="008B7FCA">
        <w:rPr>
          <w:lang w:val="es-ES"/>
        </w:rPr>
        <w:t xml:space="preserve"> y </w:t>
      </w:r>
      <w:proofErr w:type="spellStart"/>
      <w:r w:rsidRPr="008B7FCA">
        <w:rPr>
          <w:lang w:val="es-ES"/>
        </w:rPr>
        <w:t>ViiV</w:t>
      </w:r>
      <w:proofErr w:type="spellEnd"/>
      <w:r w:rsidRPr="008B7FCA">
        <w:rPr>
          <w:lang w:val="es-ES"/>
        </w:rPr>
        <w:t xml:space="preserve"> </w:t>
      </w:r>
      <w:proofErr w:type="spellStart"/>
      <w:r w:rsidRPr="008B7FCA">
        <w:rPr>
          <w:lang w:val="es-ES"/>
        </w:rPr>
        <w:t>Healthcare</w:t>
      </w:r>
      <w:proofErr w:type="spellEnd"/>
      <w:r w:rsidRPr="008B7FCA">
        <w:rPr>
          <w:lang w:val="es-ES"/>
        </w:rPr>
        <w:t xml:space="preserve"> en el citado documento.</w:t>
      </w:r>
    </w:p>
    <w:p w14:paraId="4B5A1FB3" w14:textId="163633B8" w:rsidR="00826FED" w:rsidRPr="00826FED" w:rsidRDefault="008B7FCA" w:rsidP="008B7FCA">
      <w:pPr>
        <w:jc w:val="both"/>
        <w:rPr>
          <w:lang w:val="es-ES"/>
        </w:rPr>
      </w:pPr>
      <w:r w:rsidRPr="008B7FCA">
        <w:rPr>
          <w:lang w:val="es-ES"/>
        </w:rPr>
        <w:t>Se entiende por avance en el modelo de atención, cualquier intervención o conjunto de intervenciones que ayuden a transformar la forma de organizar y gestionar la práctica asistencial para pacientes con</w:t>
      </w:r>
      <w:r w:rsidR="002D3C43">
        <w:rPr>
          <w:lang w:val="es-ES"/>
        </w:rPr>
        <w:t xml:space="preserve"> </w:t>
      </w:r>
      <w:r w:rsidRPr="008B7FCA">
        <w:rPr>
          <w:lang w:val="es-ES"/>
        </w:rPr>
        <w:t xml:space="preserve">VIH en línea con el modelo descrito. En este sentido, los proyectos que se presenten deben ser </w:t>
      </w:r>
      <w:r w:rsidRPr="008B7FCA">
        <w:rPr>
          <w:b/>
          <w:bCs/>
          <w:lang w:val="es-ES"/>
        </w:rPr>
        <w:t>multidisciplinares</w:t>
      </w:r>
      <w:r w:rsidRPr="008B7FCA">
        <w:rPr>
          <w:lang w:val="es-ES"/>
        </w:rPr>
        <w:t>, es decir, que incorporen visiones, roles y/o disciplinas profesionales complementarias, que integren una respuesta multidisciplinar</w:t>
      </w:r>
      <w:r w:rsidR="0071126E">
        <w:rPr>
          <w:lang w:val="es-ES"/>
        </w:rPr>
        <w:t xml:space="preserve"> </w:t>
      </w:r>
      <w:r w:rsidR="0071126E" w:rsidRPr="0071126E">
        <w:rPr>
          <w:lang w:val="es-ES"/>
        </w:rPr>
        <w:t>en la que los profesionales de cada disciplina han de trabajar de manera colaborativa para la mejora de los resultados en salud y la calidad de vida de los pacientes con VIH</w:t>
      </w:r>
      <w:r w:rsidRPr="008B7FCA">
        <w:rPr>
          <w:lang w:val="es-ES"/>
        </w:rPr>
        <w:t xml:space="preserve">. Adicionalmente los proyectos deberán </w:t>
      </w:r>
      <w:r w:rsidRPr="008B7FCA">
        <w:rPr>
          <w:b/>
          <w:bCs/>
          <w:lang w:val="es-ES"/>
        </w:rPr>
        <w:t xml:space="preserve">trabajar al menos 2 de los 6 componentes esenciales </w:t>
      </w:r>
      <w:r w:rsidRPr="008B7FCA">
        <w:rPr>
          <w:lang w:val="es-ES"/>
        </w:rPr>
        <w:t>que se describen en el citado documento y que permiten lograr una gestión más eficaz y eficiente de las enfermedades crónicas</w:t>
      </w:r>
      <w:r w:rsidR="00826FED" w:rsidRPr="00826FED">
        <w:rPr>
          <w:lang w:val="es-ES"/>
        </w:rPr>
        <w:t>:</w:t>
      </w:r>
    </w:p>
    <w:p w14:paraId="46B89432" w14:textId="77777777" w:rsidR="008B7FCA"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DE3FE4">
        <w:rPr>
          <w:rFonts w:asciiTheme="minorHAnsi" w:eastAsiaTheme="minorHAnsi" w:hAnsiTheme="minorHAnsi" w:cstheme="minorBidi"/>
          <w:b/>
          <w:bCs/>
          <w:color w:val="071D49" w:themeColor="text1"/>
          <w:sz w:val="18"/>
          <w:szCs w:val="22"/>
          <w:lang w:val="es-ES"/>
        </w:rPr>
        <w:t>Cambios en la organización de la atención sanitaria para integrar los cuidados del VIH en forma de “red” o “sistema”:</w:t>
      </w:r>
      <w:r w:rsidRPr="00DE3FE4">
        <w:rPr>
          <w:rFonts w:asciiTheme="minorHAnsi" w:eastAsiaTheme="minorHAnsi" w:hAnsiTheme="minorHAnsi" w:cstheme="minorBidi"/>
          <w:color w:val="071D49" w:themeColor="text1"/>
          <w:sz w:val="18"/>
          <w:szCs w:val="22"/>
          <w:lang w:val="es-ES"/>
        </w:rPr>
        <w:t xml:space="preserve"> existencia de metas o indicadores compartidos entre prestadores, existencia de reuniones de coordinación interdisciplinares, existencia de incentivos compartidos entre estructuras, niveles o servicios, etc.</w:t>
      </w:r>
    </w:p>
    <w:p w14:paraId="321A1064" w14:textId="26B6D49C" w:rsidR="008B7FCA"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DE3FE4">
        <w:rPr>
          <w:rFonts w:asciiTheme="minorHAnsi" w:eastAsiaTheme="minorHAnsi" w:hAnsiTheme="minorHAnsi" w:cstheme="minorBidi"/>
          <w:b/>
          <w:bCs/>
          <w:color w:val="071D49" w:themeColor="text1"/>
          <w:sz w:val="18"/>
          <w:szCs w:val="22"/>
          <w:lang w:val="es-ES"/>
        </w:rPr>
        <w:t>Cambios en el modelo de prestación de cuidados para ofrecer una asistencia adaptada a las nuevas necesidades de los pacientes:</w:t>
      </w:r>
      <w:r w:rsidRPr="00DE3FE4">
        <w:rPr>
          <w:rFonts w:asciiTheme="minorHAnsi" w:eastAsiaTheme="minorHAnsi" w:hAnsiTheme="minorHAnsi" w:cstheme="minorBidi"/>
          <w:color w:val="071D49" w:themeColor="text1"/>
          <w:sz w:val="18"/>
          <w:szCs w:val="22"/>
          <w:lang w:val="es-ES"/>
        </w:rPr>
        <w:t xml:space="preserve"> existencia de un diseño horizontal del proceso asistencial en el área, la unidad de VIH y/o con todos los agentes de la comunidad (ruta integrada de cuidados), existencia de una estandarización de cuidados para distintos perfiles de pacientes con</w:t>
      </w:r>
      <w:r w:rsidR="002601F2">
        <w:rPr>
          <w:rFonts w:asciiTheme="minorHAnsi" w:eastAsiaTheme="minorHAnsi" w:hAnsiTheme="minorHAnsi" w:cstheme="minorBidi"/>
          <w:color w:val="071D49" w:themeColor="text1"/>
          <w:sz w:val="18"/>
          <w:szCs w:val="22"/>
          <w:lang w:val="es-ES"/>
        </w:rPr>
        <w:t xml:space="preserve"> </w:t>
      </w:r>
      <w:r w:rsidRPr="00DE3FE4">
        <w:rPr>
          <w:rFonts w:asciiTheme="minorHAnsi" w:eastAsiaTheme="minorHAnsi" w:hAnsiTheme="minorHAnsi" w:cstheme="minorBidi"/>
          <w:color w:val="071D49" w:themeColor="text1"/>
          <w:sz w:val="18"/>
          <w:szCs w:val="22"/>
          <w:lang w:val="es-ES"/>
        </w:rPr>
        <w:t xml:space="preserve">VIH, iniciativas que incorporan </w:t>
      </w:r>
      <w:r w:rsidR="000B15F2">
        <w:rPr>
          <w:rFonts w:asciiTheme="minorHAnsi" w:eastAsiaTheme="minorHAnsi" w:hAnsiTheme="minorHAnsi" w:cstheme="minorBidi"/>
          <w:color w:val="071D49" w:themeColor="text1"/>
          <w:sz w:val="18"/>
          <w:szCs w:val="22"/>
          <w:lang w:val="es-ES"/>
        </w:rPr>
        <w:t>tecnología de la información</w:t>
      </w:r>
      <w:r w:rsidRPr="00DE3FE4">
        <w:rPr>
          <w:rFonts w:asciiTheme="minorHAnsi" w:eastAsiaTheme="minorHAnsi" w:hAnsiTheme="minorHAnsi" w:cstheme="minorBidi"/>
          <w:color w:val="071D49" w:themeColor="text1"/>
          <w:sz w:val="18"/>
          <w:szCs w:val="22"/>
          <w:lang w:val="es-ES"/>
        </w:rPr>
        <w:t xml:space="preserve"> para facilitar la asistencia sanitaria, etc. </w:t>
      </w:r>
    </w:p>
    <w:p w14:paraId="2CF39815" w14:textId="77777777" w:rsidR="008B7FCA"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DE3FE4">
        <w:rPr>
          <w:rFonts w:asciiTheme="minorHAnsi" w:eastAsiaTheme="minorHAnsi" w:hAnsiTheme="minorHAnsi" w:cstheme="minorBidi"/>
          <w:b/>
          <w:bCs/>
          <w:color w:val="071D49" w:themeColor="text1"/>
          <w:sz w:val="18"/>
          <w:szCs w:val="22"/>
          <w:lang w:val="es-ES"/>
        </w:rPr>
        <w:t>Cambios en los sistemas de información clínica:</w:t>
      </w:r>
      <w:r w:rsidRPr="00DE3FE4">
        <w:rPr>
          <w:rFonts w:asciiTheme="minorHAnsi" w:eastAsiaTheme="minorHAnsi" w:hAnsiTheme="minorHAnsi" w:cstheme="minorBidi"/>
          <w:color w:val="071D49" w:themeColor="text1"/>
          <w:sz w:val="18"/>
          <w:szCs w:val="22"/>
          <w:lang w:val="es-ES"/>
        </w:rPr>
        <w:t xml:space="preserve"> diseño de cambios en la historia clínica electrónica, introducción de un sistema de interconsultas virtuales o e-consultas, etc.</w:t>
      </w:r>
    </w:p>
    <w:p w14:paraId="181E299C" w14:textId="77777777" w:rsidR="008B7FCA"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DE3FE4">
        <w:rPr>
          <w:rFonts w:asciiTheme="minorHAnsi" w:eastAsiaTheme="minorHAnsi" w:hAnsiTheme="minorHAnsi" w:cstheme="minorBidi"/>
          <w:b/>
          <w:bCs/>
          <w:color w:val="071D49" w:themeColor="text1"/>
          <w:sz w:val="18"/>
          <w:szCs w:val="22"/>
          <w:lang w:val="es-ES"/>
        </w:rPr>
        <w:t>Cambios en los sistemas de apoyo a la toma de decisiones clínicas:</w:t>
      </w:r>
      <w:r w:rsidRPr="00DE3FE4">
        <w:rPr>
          <w:rFonts w:asciiTheme="minorHAnsi" w:eastAsiaTheme="minorHAnsi" w:hAnsiTheme="minorHAnsi" w:cstheme="minorBidi"/>
          <w:color w:val="071D49" w:themeColor="text1"/>
          <w:sz w:val="18"/>
          <w:szCs w:val="22"/>
          <w:lang w:val="es-ES"/>
        </w:rPr>
        <w:t xml:space="preserve"> existencia de sistemas de alertas y recordatorios clínicos en los sistemas de información, sistemas de medición sistemáticos de indicadores de calidad y seguridad clínica que recogen las guías de práctica clínica y su uso en el proceso asistencial que se presta a estos pacientes, etc.</w:t>
      </w:r>
    </w:p>
    <w:p w14:paraId="582F0031" w14:textId="77777777" w:rsidR="008B7FCA"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DE3FE4">
        <w:rPr>
          <w:rFonts w:asciiTheme="minorHAnsi" w:eastAsiaTheme="minorHAnsi" w:hAnsiTheme="minorHAnsi" w:cstheme="minorBidi"/>
          <w:b/>
          <w:bCs/>
          <w:color w:val="071D49" w:themeColor="text1"/>
          <w:sz w:val="18"/>
          <w:szCs w:val="22"/>
          <w:lang w:val="es-ES"/>
        </w:rPr>
        <w:t>Cambios para promover el autocuidado</w:t>
      </w:r>
      <w:r w:rsidRPr="00DE3FE4">
        <w:rPr>
          <w:rFonts w:asciiTheme="minorHAnsi" w:eastAsiaTheme="minorHAnsi" w:hAnsiTheme="minorHAnsi" w:cstheme="minorBidi"/>
          <w:color w:val="071D49" w:themeColor="text1"/>
          <w:sz w:val="18"/>
          <w:szCs w:val="22"/>
          <w:lang w:val="es-ES"/>
        </w:rPr>
        <w:t xml:space="preserve">: existencia de estrategias de autocuidado adaptadas a perfiles de pacientes, experiencias de </w:t>
      </w:r>
      <w:proofErr w:type="spellStart"/>
      <w:r w:rsidRPr="00DE3FE4">
        <w:rPr>
          <w:rFonts w:asciiTheme="minorHAnsi" w:eastAsiaTheme="minorHAnsi" w:hAnsiTheme="minorHAnsi" w:cstheme="minorBidi"/>
          <w:color w:val="071D49" w:themeColor="text1"/>
          <w:sz w:val="18"/>
          <w:szCs w:val="22"/>
          <w:lang w:val="es-ES"/>
        </w:rPr>
        <w:t>mHealth</w:t>
      </w:r>
      <w:proofErr w:type="spellEnd"/>
      <w:r w:rsidRPr="00DE3FE4">
        <w:rPr>
          <w:rFonts w:asciiTheme="minorHAnsi" w:eastAsiaTheme="minorHAnsi" w:hAnsiTheme="minorHAnsi" w:cstheme="minorBidi"/>
          <w:color w:val="071D49" w:themeColor="text1"/>
          <w:sz w:val="18"/>
          <w:szCs w:val="22"/>
          <w:lang w:val="es-ES"/>
        </w:rPr>
        <w:t xml:space="preserve"> (uso de dispositivos móviles como teléfonos, dispositivos de monitorización de pacientes, asistentes personales digitales y otros dispositivos inalámbricos) para promover el autocuidado, etc.</w:t>
      </w:r>
    </w:p>
    <w:p w14:paraId="3133E5C2" w14:textId="5FDC1B6E" w:rsidR="00826FED" w:rsidRPr="00DE3FE4" w:rsidRDefault="008B7FCA" w:rsidP="008B7FCA">
      <w:pPr>
        <w:pStyle w:val="ListParagraph"/>
        <w:numPr>
          <w:ilvl w:val="0"/>
          <w:numId w:val="17"/>
        </w:numPr>
        <w:jc w:val="both"/>
        <w:rPr>
          <w:rFonts w:asciiTheme="minorHAnsi" w:eastAsiaTheme="minorHAnsi" w:hAnsiTheme="minorHAnsi" w:cstheme="minorBidi"/>
          <w:color w:val="071D49" w:themeColor="text1"/>
          <w:sz w:val="18"/>
          <w:szCs w:val="22"/>
          <w:lang w:val="es-ES"/>
        </w:rPr>
      </w:pPr>
      <w:r w:rsidRPr="004A5E3A">
        <w:rPr>
          <w:rFonts w:asciiTheme="minorHAnsi" w:eastAsiaTheme="minorHAnsi" w:hAnsiTheme="minorHAnsi" w:cstheme="minorBidi"/>
          <w:b/>
          <w:bCs/>
          <w:color w:val="071D49" w:themeColor="text1"/>
          <w:sz w:val="18"/>
          <w:szCs w:val="22"/>
          <w:lang w:val="es-ES"/>
        </w:rPr>
        <w:t>C</w:t>
      </w:r>
      <w:r w:rsidRPr="00DE3FE4">
        <w:rPr>
          <w:rFonts w:asciiTheme="minorHAnsi" w:eastAsiaTheme="minorHAnsi" w:hAnsiTheme="minorHAnsi" w:cstheme="minorBidi"/>
          <w:b/>
          <w:bCs/>
          <w:color w:val="071D49" w:themeColor="text1"/>
          <w:sz w:val="18"/>
          <w:szCs w:val="22"/>
          <w:lang w:val="es-ES"/>
        </w:rPr>
        <w:t xml:space="preserve">ambios para promover el uso de recursos comunitarios: </w:t>
      </w:r>
      <w:r w:rsidRPr="00DE3FE4">
        <w:rPr>
          <w:rFonts w:asciiTheme="minorHAnsi" w:eastAsiaTheme="minorHAnsi" w:hAnsiTheme="minorHAnsi" w:cstheme="minorBidi"/>
          <w:color w:val="071D49" w:themeColor="text1"/>
          <w:sz w:val="18"/>
          <w:szCs w:val="22"/>
          <w:lang w:val="es-ES"/>
        </w:rPr>
        <w:t>fortalecimiento de la colaboración con los recursos sociales y comunitarios, diseño de un mapa de recursos comunitarios para articular estrategias conjuntas adaptadas a la población de referencia, etc.</w:t>
      </w:r>
    </w:p>
    <w:p w14:paraId="6788D626" w14:textId="77777777" w:rsidR="00826FED" w:rsidRDefault="00826FED" w:rsidP="00826FED">
      <w:pPr>
        <w:jc w:val="both"/>
        <w:rPr>
          <w:lang w:val="es-ES"/>
        </w:rPr>
      </w:pPr>
    </w:p>
    <w:p w14:paraId="47D6A2BA" w14:textId="5C837965" w:rsidR="008B7FCA" w:rsidRDefault="008B7FCA" w:rsidP="008B7FCA">
      <w:pPr>
        <w:jc w:val="both"/>
        <w:rPr>
          <w:lang w:val="es-ES"/>
        </w:rPr>
      </w:pPr>
      <w:r w:rsidRPr="00B04DFC">
        <w:rPr>
          <w:lang w:val="es-ES"/>
        </w:rPr>
        <w:lastRenderedPageBreak/>
        <w:t>Se valorarán especialmente aquellos proyectos que trabajen un mayor número de estos componentes</w:t>
      </w:r>
      <w:r w:rsidR="00364B27" w:rsidRPr="00B04DFC">
        <w:rPr>
          <w:lang w:val="es-ES"/>
        </w:rPr>
        <w:t>.</w:t>
      </w:r>
    </w:p>
    <w:p w14:paraId="3AD50C6E" w14:textId="4006AEF5" w:rsidR="00364B27" w:rsidRPr="008B7FCA" w:rsidRDefault="003E34B8" w:rsidP="008B7FCA">
      <w:pPr>
        <w:jc w:val="both"/>
        <w:rPr>
          <w:lang w:val="es-ES"/>
        </w:rPr>
      </w:pPr>
      <w:r w:rsidRPr="007A1433">
        <w:rPr>
          <w:lang w:val="es-ES"/>
        </w:rPr>
        <w:t>Asimismo, se valorarán positivamente los proyectos que trabajen los componentes sociales. También se valorará positivamente la novedad en el diseño</w:t>
      </w:r>
      <w:r w:rsidR="00714CA0" w:rsidRPr="007A1433">
        <w:rPr>
          <w:lang w:val="es-ES"/>
        </w:rPr>
        <w:t xml:space="preserve"> y objetivos</w:t>
      </w:r>
      <w:r w:rsidRPr="007A1433">
        <w:rPr>
          <w:lang w:val="es-ES"/>
        </w:rPr>
        <w:t xml:space="preserve"> de los proyectos.</w:t>
      </w:r>
    </w:p>
    <w:p w14:paraId="03389ABA" w14:textId="42CC92D9" w:rsidR="008B7FCA" w:rsidRDefault="008B7FCA" w:rsidP="00826FED">
      <w:pPr>
        <w:jc w:val="both"/>
        <w:rPr>
          <w:lang w:val="es-ES"/>
        </w:rPr>
      </w:pPr>
      <w:r w:rsidRPr="008B7FCA">
        <w:rPr>
          <w:lang w:val="es-ES"/>
        </w:rPr>
        <w:t xml:space="preserve">En esta </w:t>
      </w:r>
      <w:r w:rsidR="0072210F">
        <w:rPr>
          <w:lang w:val="es-ES"/>
        </w:rPr>
        <w:t>C</w:t>
      </w:r>
      <w:r w:rsidRPr="008B7FCA">
        <w:rPr>
          <w:lang w:val="es-ES"/>
        </w:rPr>
        <w:t xml:space="preserve">onvocatoria, dadas las circunstancias de contexto </w:t>
      </w:r>
      <w:r w:rsidRPr="00696EEE">
        <w:rPr>
          <w:lang w:val="es-ES"/>
        </w:rPr>
        <w:t xml:space="preserve">que </w:t>
      </w:r>
      <w:r w:rsidR="0056330F" w:rsidRPr="00696EEE">
        <w:rPr>
          <w:lang w:val="es-ES"/>
        </w:rPr>
        <w:t>se generaron con</w:t>
      </w:r>
      <w:r w:rsidRPr="00696EEE">
        <w:rPr>
          <w:lang w:val="es-ES"/>
        </w:rPr>
        <w:t xml:space="preserve"> la</w:t>
      </w:r>
      <w:r w:rsidRPr="008B7FCA">
        <w:rPr>
          <w:lang w:val="es-ES"/>
        </w:rPr>
        <w:t xml:space="preserve"> </w:t>
      </w:r>
      <w:r w:rsidR="00667585">
        <w:rPr>
          <w:lang w:val="es-ES"/>
        </w:rPr>
        <w:t>COVID-</w:t>
      </w:r>
      <w:r w:rsidRPr="008B7FCA">
        <w:rPr>
          <w:lang w:val="es-ES"/>
        </w:rPr>
        <w:t>19, se valorará también, de un modo especial, el valor social en la multidisciplinariedad.</w:t>
      </w:r>
    </w:p>
    <w:p w14:paraId="5F935595" w14:textId="77777777" w:rsidR="00C90778" w:rsidRPr="00826FED" w:rsidRDefault="00C90778" w:rsidP="00826FED">
      <w:pPr>
        <w:jc w:val="both"/>
        <w:rPr>
          <w:lang w:val="es-ES"/>
        </w:rPr>
      </w:pPr>
    </w:p>
    <w:p w14:paraId="2F02100E" w14:textId="0D215A7E" w:rsidR="00826FED" w:rsidRPr="008B7FCA" w:rsidRDefault="00826FED" w:rsidP="00826FED">
      <w:pPr>
        <w:pStyle w:val="Heading12lines"/>
        <w:rPr>
          <w:lang w:val="es-ES"/>
        </w:rPr>
      </w:pPr>
      <w:r w:rsidRPr="008B7FCA">
        <w:rPr>
          <w:lang w:val="es-ES"/>
        </w:rPr>
        <w:t>3. Becas</w:t>
      </w:r>
    </w:p>
    <w:p w14:paraId="09C1086D" w14:textId="77777777" w:rsidR="00826FED" w:rsidRDefault="00826FED" w:rsidP="00826FED">
      <w:pPr>
        <w:jc w:val="both"/>
        <w:rPr>
          <w:lang w:val="es-ES"/>
        </w:rPr>
      </w:pPr>
    </w:p>
    <w:p w14:paraId="32F5A569" w14:textId="4FA4F143" w:rsidR="00713C4D" w:rsidRPr="00713C4D" w:rsidRDefault="00713C4D" w:rsidP="00713C4D">
      <w:pPr>
        <w:jc w:val="both"/>
        <w:rPr>
          <w:lang w:val="es-ES"/>
        </w:rPr>
      </w:pPr>
      <w:r w:rsidRPr="00713C4D">
        <w:rPr>
          <w:lang w:val="es-ES"/>
        </w:rPr>
        <w:t>Las Becas ViiV “</w:t>
      </w:r>
      <w:r w:rsidRPr="00713C4D">
        <w:rPr>
          <w:i/>
          <w:iCs/>
          <w:lang w:val="es-ES"/>
        </w:rPr>
        <w:t>Modelo óptimo de atención al paciente</w:t>
      </w:r>
      <w:r w:rsidR="00AC18D6">
        <w:rPr>
          <w:i/>
          <w:iCs/>
          <w:lang w:val="es-ES"/>
        </w:rPr>
        <w:t xml:space="preserve"> </w:t>
      </w:r>
      <w:r w:rsidRPr="00713C4D">
        <w:rPr>
          <w:i/>
          <w:iCs/>
          <w:lang w:val="es-ES"/>
        </w:rPr>
        <w:t>con</w:t>
      </w:r>
      <w:r w:rsidR="00AC18D6">
        <w:rPr>
          <w:i/>
          <w:iCs/>
          <w:lang w:val="es-ES"/>
        </w:rPr>
        <w:t xml:space="preserve"> infección por el</w:t>
      </w:r>
      <w:r w:rsidRPr="00713C4D">
        <w:rPr>
          <w:i/>
          <w:iCs/>
          <w:lang w:val="es-ES"/>
        </w:rPr>
        <w:t xml:space="preserve"> VIH”</w:t>
      </w:r>
      <w:r w:rsidRPr="00713C4D">
        <w:rPr>
          <w:lang w:val="es-ES"/>
        </w:rPr>
        <w:t xml:space="preserve"> reconocerán los proyectos que más aporten en la construcción e implantación del “Modelo óptimo de atención al paciente</w:t>
      </w:r>
      <w:r w:rsidR="0091618C">
        <w:rPr>
          <w:lang w:val="es-ES"/>
        </w:rPr>
        <w:t xml:space="preserve"> con</w:t>
      </w:r>
      <w:r w:rsidR="002D3C43">
        <w:rPr>
          <w:lang w:val="es-ES"/>
        </w:rPr>
        <w:t xml:space="preserve"> </w:t>
      </w:r>
      <w:r w:rsidRPr="00713C4D">
        <w:rPr>
          <w:lang w:val="es-ES"/>
        </w:rPr>
        <w:t xml:space="preserve">VIH” propuesto por </w:t>
      </w:r>
      <w:proofErr w:type="spellStart"/>
      <w:r w:rsidRPr="00713C4D">
        <w:rPr>
          <w:lang w:val="es-ES"/>
        </w:rPr>
        <w:t>GeSIDA</w:t>
      </w:r>
      <w:proofErr w:type="spellEnd"/>
      <w:r w:rsidRPr="00713C4D">
        <w:rPr>
          <w:lang w:val="es-ES"/>
        </w:rPr>
        <w:t xml:space="preserve"> y </w:t>
      </w:r>
      <w:proofErr w:type="spellStart"/>
      <w:r w:rsidRPr="00713C4D">
        <w:rPr>
          <w:lang w:val="es-ES"/>
        </w:rPr>
        <w:t>ViiV</w:t>
      </w:r>
      <w:proofErr w:type="spellEnd"/>
      <w:r w:rsidRPr="00713C4D">
        <w:rPr>
          <w:lang w:val="es-ES"/>
        </w:rPr>
        <w:t xml:space="preserve"> </w:t>
      </w:r>
      <w:proofErr w:type="spellStart"/>
      <w:r w:rsidRPr="00713C4D">
        <w:rPr>
          <w:lang w:val="es-ES"/>
        </w:rPr>
        <w:t>Healthcare</w:t>
      </w:r>
      <w:proofErr w:type="spellEnd"/>
      <w:r w:rsidRPr="00713C4D">
        <w:rPr>
          <w:lang w:val="es-ES"/>
        </w:rPr>
        <w:t xml:space="preserve">. En esta </w:t>
      </w:r>
      <w:r w:rsidR="00C77361" w:rsidRPr="00696EEE">
        <w:rPr>
          <w:lang w:val="es-ES"/>
        </w:rPr>
        <w:t>sexta</w:t>
      </w:r>
      <w:r w:rsidR="00285F36" w:rsidRPr="00696EEE">
        <w:rPr>
          <w:lang w:val="es-ES"/>
        </w:rPr>
        <w:t xml:space="preserve"> </w:t>
      </w:r>
      <w:r w:rsidRPr="00696EEE">
        <w:rPr>
          <w:lang w:val="es-ES"/>
        </w:rPr>
        <w:t>edición</w:t>
      </w:r>
      <w:r w:rsidRPr="00713C4D">
        <w:rPr>
          <w:lang w:val="es-ES"/>
        </w:rPr>
        <w:t xml:space="preserve"> de las becas, </w:t>
      </w:r>
      <w:r w:rsidRPr="007A1433">
        <w:rPr>
          <w:lang w:val="es-ES"/>
        </w:rPr>
        <w:t>se dispondrá de 160.000€</w:t>
      </w:r>
      <w:r w:rsidR="00110F04" w:rsidRPr="007A1433">
        <w:rPr>
          <w:lang w:val="es-ES"/>
        </w:rPr>
        <w:t xml:space="preserve"> para financiar</w:t>
      </w:r>
      <w:r w:rsidRPr="007A1433">
        <w:rPr>
          <w:lang w:val="es-ES"/>
        </w:rPr>
        <w:t xml:space="preserve"> </w:t>
      </w:r>
      <w:r w:rsidR="00AA38F9" w:rsidRPr="007A1433">
        <w:rPr>
          <w:lang w:val="es-ES"/>
        </w:rPr>
        <w:t xml:space="preserve">proyectos. El importe máximo que podrá tener un proyecto financiado será </w:t>
      </w:r>
      <w:r w:rsidRPr="007A1433">
        <w:rPr>
          <w:lang w:val="es-ES"/>
        </w:rPr>
        <w:t>de 80.000€.</w:t>
      </w:r>
    </w:p>
    <w:p w14:paraId="14D769B1" w14:textId="0B484A66" w:rsidR="00713C4D" w:rsidRPr="00452404" w:rsidRDefault="00713C4D" w:rsidP="00713C4D">
      <w:pPr>
        <w:jc w:val="both"/>
        <w:rPr>
          <w:color w:val="FF0000"/>
          <w:lang w:val="es-ES"/>
        </w:rPr>
      </w:pPr>
      <w:r w:rsidRPr="00713C4D">
        <w:rPr>
          <w:lang w:val="es-ES"/>
        </w:rPr>
        <w:t>La aportación económica de ViiV Healthcare consiste en una donación por el importe y para la finalidad que se especifique en la presentación de la solicitud, teniendo en cuenta los límites mencionados en el párrafo anterior, para el desarrollo del proyecto, que solo podrá ser concedida a entidades con personalidad jurídica (asociaciones, fundaciones o cualquier otro tipo de entidad jurídica del ámbito sociosanitario que presten servicios a pacientes</w:t>
      </w:r>
      <w:r w:rsidR="002D3C43">
        <w:rPr>
          <w:lang w:val="es-ES"/>
        </w:rPr>
        <w:t xml:space="preserve"> con </w:t>
      </w:r>
      <w:r w:rsidRPr="00713C4D">
        <w:rPr>
          <w:lang w:val="es-ES"/>
        </w:rPr>
        <w:t xml:space="preserve">VIH) y que será compatible con cualquier otra subvención o aportación de terceros al proyecto. No se podrán imputar los gastos asociados a personal asistencial y los gastos indirectos no podrán superar el 10% del presupuesto total solicitado. </w:t>
      </w:r>
    </w:p>
    <w:p w14:paraId="26FE55C9" w14:textId="671A94F6" w:rsidR="00713C4D" w:rsidRPr="00713C4D" w:rsidRDefault="00713C4D" w:rsidP="00713C4D">
      <w:pPr>
        <w:jc w:val="both"/>
        <w:rPr>
          <w:lang w:val="es-ES"/>
        </w:rPr>
      </w:pPr>
      <w:r w:rsidRPr="00713C4D">
        <w:rPr>
          <w:lang w:val="es-ES"/>
        </w:rPr>
        <w:t xml:space="preserve">Tras la resolución de la </w:t>
      </w:r>
      <w:r w:rsidR="0072210F">
        <w:rPr>
          <w:lang w:val="es-ES"/>
        </w:rPr>
        <w:t>C</w:t>
      </w:r>
      <w:r w:rsidRPr="00713C4D">
        <w:rPr>
          <w:lang w:val="es-ES"/>
        </w:rPr>
        <w:t xml:space="preserve">onvocatoria, </w:t>
      </w:r>
      <w:r w:rsidR="0091618C">
        <w:rPr>
          <w:lang w:val="es-ES"/>
        </w:rPr>
        <w:t>se</w:t>
      </w:r>
      <w:r w:rsidRPr="00713C4D">
        <w:rPr>
          <w:lang w:val="es-ES"/>
        </w:rPr>
        <w:t xml:space="preserve"> notificará vía e-mail a los responsables de los proyectos seleccionados. Estos dispondrán de un plazo </w:t>
      </w:r>
      <w:r w:rsidRPr="00D22AB5">
        <w:rPr>
          <w:lang w:val="es-ES"/>
        </w:rPr>
        <w:t xml:space="preserve">de </w:t>
      </w:r>
      <w:r w:rsidR="007A1433" w:rsidRPr="00D22AB5">
        <w:rPr>
          <w:lang w:val="es-ES"/>
        </w:rPr>
        <w:t>10</w:t>
      </w:r>
      <w:r w:rsidRPr="00D22AB5">
        <w:rPr>
          <w:lang w:val="es-ES"/>
        </w:rPr>
        <w:t xml:space="preserve"> días</w:t>
      </w:r>
      <w:r w:rsidRPr="00713C4D">
        <w:rPr>
          <w:lang w:val="es-ES"/>
        </w:rPr>
        <w:t xml:space="preserve"> naturales para manifestar a </w:t>
      </w:r>
      <w:hyperlink r:id="rId9" w:history="1">
        <w:r w:rsidR="00AF3AFF" w:rsidRPr="00885D15">
          <w:rPr>
            <w:rStyle w:val="Hyperlink"/>
            <w:lang w:val="es-ES"/>
          </w:rPr>
          <w:t>sihealth@sihealth.es</w:t>
        </w:r>
      </w:hyperlink>
      <w:r w:rsidR="00AF3AFF">
        <w:rPr>
          <w:lang w:val="es-ES"/>
        </w:rPr>
        <w:t xml:space="preserve">, </w:t>
      </w:r>
      <w:r w:rsidRPr="00713C4D">
        <w:rPr>
          <w:lang w:val="es-ES"/>
        </w:rPr>
        <w:t>por escrito mediante una carta de aceptación, la aceptación de la beca, que se concederá en los términos y por el importe que ViiV Healthcare confirme. En el caso de que transcurrido dicho plazo no hayan manifestado la aceptación de la beca, se entenderá que renuncian a la misma.</w:t>
      </w:r>
    </w:p>
    <w:p w14:paraId="062DD97D" w14:textId="77777777" w:rsidR="00713C4D" w:rsidRPr="00713C4D" w:rsidRDefault="00713C4D" w:rsidP="00713C4D">
      <w:pPr>
        <w:jc w:val="both"/>
        <w:rPr>
          <w:lang w:val="es-ES"/>
        </w:rPr>
      </w:pPr>
      <w:r w:rsidRPr="00713C4D">
        <w:rPr>
          <w:lang w:val="es-ES"/>
        </w:rPr>
        <w:t xml:space="preserve">Tras la aceptación expresa de la beca, ViiV Healthcare remitirá a la entidad solicitante beneficiaria, una vez cumplidos los requisitos aplicables a la solicitud y concesión de donaciones, dos ejemplares firmados del acuerdo destinado a regular la colaboración correspondiente. Uno de los ejemplares de dicho acuerdo será devuelto a ViiV Healthcare debidamente firmado por el representante de la entidad beneficiaria. ViiV Healthcare no podrá iniciar los trámites del pago de la aportación económica, que se reflejarán en el acuerdo correspondiente, hasta no recibir dicho ejemplar firmado. </w:t>
      </w:r>
    </w:p>
    <w:p w14:paraId="5F32528D" w14:textId="404D0D90" w:rsidR="00826FED" w:rsidRPr="00826FED" w:rsidRDefault="00713C4D" w:rsidP="00713C4D">
      <w:pPr>
        <w:jc w:val="both"/>
        <w:rPr>
          <w:lang w:val="es-ES"/>
        </w:rPr>
      </w:pPr>
      <w:r w:rsidRPr="00713C4D">
        <w:rPr>
          <w:lang w:val="es-ES"/>
        </w:rPr>
        <w:t xml:space="preserve">En el plazo de 90 días naturales desde la finalización del plazo de ejecución del proyecto, se deberá enviar por correo electrónico a la dirección </w:t>
      </w:r>
      <w:hyperlink r:id="rId10" w:history="1">
        <w:r w:rsidRPr="00713C4D">
          <w:rPr>
            <w:rStyle w:val="Hyperlink"/>
            <w:lang w:val="es-ES"/>
          </w:rPr>
          <w:t>sihealth@sihealth.es</w:t>
        </w:r>
      </w:hyperlink>
      <w:r w:rsidRPr="00713C4D">
        <w:rPr>
          <w:lang w:val="es-ES"/>
        </w:rPr>
        <w:t xml:space="preserve"> una Memoria Final del mismo, que incluya</w:t>
      </w:r>
      <w:r w:rsidR="00826FED" w:rsidRPr="00826FED">
        <w:rPr>
          <w:lang w:val="es-ES"/>
        </w:rPr>
        <w:t xml:space="preserve">: </w:t>
      </w:r>
    </w:p>
    <w:p w14:paraId="2895D9D2" w14:textId="77777777" w:rsidR="00826FED" w:rsidRPr="00826FED" w:rsidRDefault="00826FED" w:rsidP="00826FED">
      <w:pPr>
        <w:pStyle w:val="ListParagraph"/>
        <w:numPr>
          <w:ilvl w:val="0"/>
          <w:numId w:val="14"/>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Descripción de los objetivos y grado de consecución de los mismos.</w:t>
      </w:r>
    </w:p>
    <w:p w14:paraId="17D204AA" w14:textId="77777777" w:rsidR="00826FED" w:rsidRPr="00826FED" w:rsidRDefault="00826FED" w:rsidP="00826FED">
      <w:pPr>
        <w:pStyle w:val="ListParagraph"/>
        <w:numPr>
          <w:ilvl w:val="0"/>
          <w:numId w:val="14"/>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Resumen de las actividades realizadas y grado de cumplimiento del plan de trabajo.</w:t>
      </w:r>
    </w:p>
    <w:p w14:paraId="6F09AA26" w14:textId="77777777" w:rsidR="00826FED" w:rsidRPr="00A01A47" w:rsidRDefault="00826FED" w:rsidP="00826FED">
      <w:pPr>
        <w:pStyle w:val="ListParagraph"/>
        <w:numPr>
          <w:ilvl w:val="0"/>
          <w:numId w:val="14"/>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Resumen de los resultados e impacto conseguido con el desarrollo del proyecto y su desviación con respecto a las estimaciones iniciales</w:t>
      </w:r>
      <w:r w:rsidRPr="00A01A47">
        <w:rPr>
          <w:rFonts w:asciiTheme="minorHAnsi" w:hAnsiTheme="minorHAnsi"/>
          <w:color w:val="071D49" w:themeColor="text1"/>
          <w:sz w:val="18"/>
          <w:szCs w:val="18"/>
          <w:lang w:val="es-ES"/>
        </w:rPr>
        <w:t xml:space="preserve">. </w:t>
      </w:r>
    </w:p>
    <w:p w14:paraId="60D15D14" w14:textId="77777777" w:rsidR="00826FED" w:rsidRPr="00826FED" w:rsidRDefault="00826FED" w:rsidP="00826FED">
      <w:pPr>
        <w:jc w:val="both"/>
        <w:rPr>
          <w:lang w:val="es-ES"/>
        </w:rPr>
      </w:pPr>
      <w:r w:rsidRPr="00826FED">
        <w:rPr>
          <w:lang w:val="es-ES"/>
        </w:rPr>
        <w:t>Para aquellos casos en los que el plazo de ejecución del proyecto sea superior a 18 meses, se presentará una Memoria Intermedia, tras el primer año de ejecución, incluyendo el estado en el que se encuentren los hitos mencionados anteriormente.</w:t>
      </w:r>
    </w:p>
    <w:p w14:paraId="5AECAA0C" w14:textId="5617DA97" w:rsidR="00826FED" w:rsidRDefault="00826FED" w:rsidP="00826FED">
      <w:pPr>
        <w:jc w:val="both"/>
        <w:rPr>
          <w:lang w:val="es-ES"/>
        </w:rPr>
      </w:pPr>
      <w:r w:rsidRPr="00826FED">
        <w:rPr>
          <w:lang w:val="es-ES"/>
        </w:rPr>
        <w:t xml:space="preserve">El incumplimiento de alguno de los términos y condiciones dispuestos en las presentes bases de la </w:t>
      </w:r>
      <w:r w:rsidR="0072210F">
        <w:rPr>
          <w:lang w:val="es-ES"/>
        </w:rPr>
        <w:t>C</w:t>
      </w:r>
      <w:r w:rsidRPr="00826FED">
        <w:rPr>
          <w:lang w:val="es-ES"/>
        </w:rPr>
        <w:t xml:space="preserve">onvocatoria conllevará la no consideración de los proyectos presentados por los candidatos incumplidores en futuras convocatorias de las becas descritas en el presente documento. </w:t>
      </w:r>
    </w:p>
    <w:p w14:paraId="6C29B83B" w14:textId="178DA66C" w:rsidR="007A1433" w:rsidRDefault="007A1433" w:rsidP="00826FED">
      <w:pPr>
        <w:jc w:val="both"/>
        <w:rPr>
          <w:lang w:val="es-ES"/>
        </w:rPr>
      </w:pPr>
    </w:p>
    <w:p w14:paraId="303641CC" w14:textId="77777777" w:rsidR="007A1433" w:rsidRPr="00826FED" w:rsidRDefault="007A1433" w:rsidP="00826FED">
      <w:pPr>
        <w:jc w:val="both"/>
        <w:rPr>
          <w:lang w:val="es-ES"/>
        </w:rPr>
      </w:pPr>
    </w:p>
    <w:p w14:paraId="444469C6" w14:textId="77777777" w:rsidR="00826FED" w:rsidRPr="00826FED" w:rsidRDefault="00826FED" w:rsidP="00826FED">
      <w:pPr>
        <w:jc w:val="both"/>
        <w:rPr>
          <w:color w:val="FF0000"/>
          <w:lang w:val="es-ES"/>
        </w:rPr>
      </w:pPr>
    </w:p>
    <w:p w14:paraId="0F9A9B7D" w14:textId="680D0544" w:rsidR="00826FED" w:rsidRPr="008B7FCA" w:rsidRDefault="00826FED" w:rsidP="00826FED">
      <w:pPr>
        <w:pStyle w:val="Heading12lines"/>
        <w:rPr>
          <w:lang w:val="es-ES"/>
        </w:rPr>
      </w:pPr>
      <w:r w:rsidRPr="008B7FCA">
        <w:rPr>
          <w:lang w:val="es-ES"/>
        </w:rPr>
        <w:lastRenderedPageBreak/>
        <w:t>4. Requisitos de acceso</w:t>
      </w:r>
    </w:p>
    <w:p w14:paraId="6C1944CC" w14:textId="77777777" w:rsidR="00826FED" w:rsidRDefault="00826FED" w:rsidP="00826FED">
      <w:pPr>
        <w:jc w:val="both"/>
        <w:rPr>
          <w:lang w:val="es-ES"/>
        </w:rPr>
      </w:pPr>
      <w:bookmarkStart w:id="0" w:name="_Hlk4575169"/>
    </w:p>
    <w:p w14:paraId="394BB39F" w14:textId="4033EB06" w:rsidR="00826FED" w:rsidRPr="00826FED" w:rsidRDefault="00826FED" w:rsidP="00826FED">
      <w:pPr>
        <w:jc w:val="both"/>
        <w:rPr>
          <w:lang w:val="es-ES"/>
        </w:rPr>
      </w:pPr>
      <w:r w:rsidRPr="00826FED">
        <w:rPr>
          <w:lang w:val="es-ES"/>
        </w:rPr>
        <w:t xml:space="preserve">Podrá participar en la </w:t>
      </w:r>
      <w:r w:rsidR="0072210F">
        <w:rPr>
          <w:lang w:val="es-ES"/>
        </w:rPr>
        <w:t>C</w:t>
      </w:r>
      <w:r w:rsidRPr="00826FED">
        <w:rPr>
          <w:lang w:val="es-ES"/>
        </w:rPr>
        <w:t xml:space="preserve">onvocatoria cualquier proyecto que se desarrolle en España y que cumpla con los siguientes requisitos: </w:t>
      </w:r>
    </w:p>
    <w:p w14:paraId="4EB4BE88" w14:textId="27E70771" w:rsidR="00713C4D" w:rsidRPr="00713C4D" w:rsidRDefault="00713C4D" w:rsidP="00713C4D">
      <w:pPr>
        <w:pStyle w:val="ListParagraph"/>
        <w:numPr>
          <w:ilvl w:val="0"/>
          <w:numId w:val="5"/>
        </w:numPr>
        <w:spacing w:after="200" w:line="288" w:lineRule="auto"/>
        <w:jc w:val="both"/>
        <w:rPr>
          <w:rFonts w:asciiTheme="minorHAnsi" w:hAnsiTheme="minorHAnsi"/>
          <w:bCs/>
          <w:color w:val="071D49" w:themeColor="text1"/>
          <w:sz w:val="18"/>
          <w:szCs w:val="18"/>
          <w:lang w:val="es-ES"/>
        </w:rPr>
      </w:pPr>
      <w:bookmarkStart w:id="1" w:name="_Hlk4665284"/>
      <w:r w:rsidRPr="00713C4D">
        <w:rPr>
          <w:rFonts w:asciiTheme="minorHAnsi" w:hAnsiTheme="minorHAnsi"/>
          <w:b/>
          <w:color w:val="071D49" w:themeColor="text1"/>
          <w:sz w:val="18"/>
          <w:szCs w:val="18"/>
          <w:lang w:val="es-ES"/>
        </w:rPr>
        <w:t>En cuanto al liderazgo del proyecto</w:t>
      </w:r>
      <w:r w:rsidRPr="00713C4D">
        <w:rPr>
          <w:rFonts w:asciiTheme="minorHAnsi" w:hAnsiTheme="minorHAnsi"/>
          <w:bCs/>
          <w:color w:val="071D49" w:themeColor="text1"/>
          <w:sz w:val="18"/>
          <w:szCs w:val="18"/>
          <w:lang w:val="es-ES"/>
        </w:rPr>
        <w:t xml:space="preserve">: </w:t>
      </w:r>
      <w:r w:rsidR="006E3E9C">
        <w:rPr>
          <w:rFonts w:asciiTheme="minorHAnsi" w:hAnsiTheme="minorHAnsi"/>
          <w:bCs/>
          <w:color w:val="071D49" w:themeColor="text1"/>
          <w:sz w:val="18"/>
          <w:szCs w:val="18"/>
          <w:lang w:val="es-ES"/>
        </w:rPr>
        <w:t>p</w:t>
      </w:r>
      <w:r w:rsidRPr="00713C4D">
        <w:rPr>
          <w:rFonts w:asciiTheme="minorHAnsi" w:hAnsiTheme="minorHAnsi"/>
          <w:bCs/>
          <w:color w:val="071D49" w:themeColor="text1"/>
          <w:sz w:val="18"/>
          <w:szCs w:val="18"/>
          <w:lang w:val="es-ES"/>
        </w:rPr>
        <w:t xml:space="preserve">odrán participar en la </w:t>
      </w:r>
      <w:r w:rsidR="0072210F">
        <w:rPr>
          <w:rFonts w:asciiTheme="minorHAnsi" w:hAnsiTheme="minorHAnsi"/>
          <w:bCs/>
          <w:color w:val="071D49" w:themeColor="text1"/>
          <w:sz w:val="18"/>
          <w:szCs w:val="18"/>
          <w:lang w:val="es-ES"/>
        </w:rPr>
        <w:t>C</w:t>
      </w:r>
      <w:r w:rsidRPr="00713C4D">
        <w:rPr>
          <w:rFonts w:asciiTheme="minorHAnsi" w:hAnsiTheme="minorHAnsi"/>
          <w:bCs/>
          <w:color w:val="071D49" w:themeColor="text1"/>
          <w:sz w:val="18"/>
          <w:szCs w:val="18"/>
          <w:lang w:val="es-ES"/>
        </w:rPr>
        <w:t xml:space="preserve">onvocatoria profesionales del ámbito sociosanitario que desarrollen su labor en Hospitales (públicos o privados), en Centros de Salud o Centros </w:t>
      </w:r>
      <w:r w:rsidR="00F80C2F">
        <w:rPr>
          <w:rFonts w:asciiTheme="minorHAnsi" w:hAnsiTheme="minorHAnsi"/>
          <w:bCs/>
          <w:color w:val="071D49" w:themeColor="text1"/>
          <w:sz w:val="18"/>
          <w:szCs w:val="18"/>
          <w:lang w:val="es-ES"/>
        </w:rPr>
        <w:t>S</w:t>
      </w:r>
      <w:r w:rsidRPr="00713C4D">
        <w:rPr>
          <w:rFonts w:asciiTheme="minorHAnsi" w:hAnsiTheme="minorHAnsi"/>
          <w:bCs/>
          <w:color w:val="071D49" w:themeColor="text1"/>
          <w:sz w:val="18"/>
          <w:szCs w:val="18"/>
          <w:lang w:val="es-ES"/>
        </w:rPr>
        <w:t xml:space="preserve">ociosanitarios, en organizaciones sanitarias integradas o en servicios o unidades que atienden a pacientes con VIH (a modo de ejemplo, Servicios de Enfermedades Infecciosas, Servicios de Farmacia Hospitalaria, Unidades de VIH, etc.). También se aceptarán iniciativas que provengan del liderazgo de la Dirección Médica o Gerencia de los centros. Se valorará el </w:t>
      </w:r>
      <w:r w:rsidR="006600AD" w:rsidRPr="00713C4D">
        <w:rPr>
          <w:rFonts w:asciiTheme="minorHAnsi" w:hAnsiTheme="minorHAnsi"/>
          <w:bCs/>
          <w:color w:val="071D49" w:themeColor="text1"/>
          <w:sz w:val="18"/>
          <w:szCs w:val="18"/>
          <w:lang w:val="es-ES"/>
        </w:rPr>
        <w:t>currículo</w:t>
      </w:r>
      <w:r w:rsidRPr="00713C4D">
        <w:rPr>
          <w:rFonts w:asciiTheme="minorHAnsi" w:hAnsiTheme="minorHAnsi"/>
          <w:bCs/>
          <w:color w:val="071D49" w:themeColor="text1"/>
          <w:sz w:val="18"/>
          <w:szCs w:val="18"/>
          <w:lang w:val="es-ES"/>
        </w:rPr>
        <w:t xml:space="preserve"> del equipo investigador y su experiencia en la implementación sostenida de mejoras asistenciales.  </w:t>
      </w:r>
    </w:p>
    <w:p w14:paraId="06FE3A6E" w14:textId="0A9DC7A2" w:rsidR="00713C4D" w:rsidRPr="00713C4D" w:rsidRDefault="00713C4D" w:rsidP="00713C4D">
      <w:pPr>
        <w:pStyle w:val="ListParagraph"/>
        <w:numPr>
          <w:ilvl w:val="0"/>
          <w:numId w:val="5"/>
        </w:numPr>
        <w:spacing w:after="200" w:line="288" w:lineRule="auto"/>
        <w:jc w:val="both"/>
        <w:rPr>
          <w:rFonts w:asciiTheme="minorHAnsi" w:hAnsiTheme="minorHAnsi"/>
          <w:bCs/>
          <w:color w:val="071D49" w:themeColor="text1"/>
          <w:sz w:val="18"/>
          <w:szCs w:val="18"/>
          <w:lang w:val="es-ES"/>
        </w:rPr>
      </w:pPr>
      <w:r w:rsidRPr="00713C4D">
        <w:rPr>
          <w:rFonts w:asciiTheme="minorHAnsi" w:hAnsiTheme="minorHAnsi"/>
          <w:b/>
          <w:color w:val="071D49" w:themeColor="text1"/>
          <w:sz w:val="18"/>
          <w:szCs w:val="18"/>
          <w:lang w:val="es-ES"/>
        </w:rPr>
        <w:t>En cuanto a la participación de otras organizaciones en el proyecto</w:t>
      </w:r>
      <w:r w:rsidRPr="00713C4D">
        <w:rPr>
          <w:rFonts w:asciiTheme="minorHAnsi" w:hAnsiTheme="minorHAnsi"/>
          <w:bCs/>
          <w:color w:val="071D49" w:themeColor="text1"/>
          <w:sz w:val="18"/>
          <w:szCs w:val="18"/>
          <w:lang w:val="es-ES"/>
        </w:rPr>
        <w:t xml:space="preserve">: </w:t>
      </w:r>
      <w:r w:rsidR="006E3E9C">
        <w:rPr>
          <w:rFonts w:asciiTheme="minorHAnsi" w:hAnsiTheme="minorHAnsi"/>
          <w:bCs/>
          <w:color w:val="071D49" w:themeColor="text1"/>
          <w:sz w:val="18"/>
          <w:szCs w:val="18"/>
          <w:lang w:val="es-ES"/>
        </w:rPr>
        <w:t>c</w:t>
      </w:r>
      <w:r w:rsidRPr="00713C4D">
        <w:rPr>
          <w:rFonts w:asciiTheme="minorHAnsi" w:hAnsiTheme="minorHAnsi"/>
          <w:bCs/>
          <w:color w:val="071D49" w:themeColor="text1"/>
          <w:sz w:val="18"/>
          <w:szCs w:val="18"/>
          <w:lang w:val="es-ES"/>
        </w:rPr>
        <w:t>uando en un proyecto estén involucradas, además de la organización solicitante, otras organizaciones, se deberá acreditar la adhesión al proyecto de las organizaciones colaboradoras.</w:t>
      </w:r>
    </w:p>
    <w:p w14:paraId="552B9015" w14:textId="1A355DC2" w:rsidR="00826FED" w:rsidRDefault="00713C4D" w:rsidP="00713C4D">
      <w:pPr>
        <w:pStyle w:val="ListParagraph"/>
        <w:numPr>
          <w:ilvl w:val="0"/>
          <w:numId w:val="5"/>
        </w:numPr>
        <w:spacing w:after="200" w:line="288" w:lineRule="auto"/>
        <w:jc w:val="both"/>
        <w:rPr>
          <w:rFonts w:asciiTheme="minorHAnsi" w:eastAsiaTheme="minorHAnsi" w:hAnsiTheme="minorHAnsi" w:cstheme="minorBidi"/>
          <w:color w:val="071D49" w:themeColor="text1"/>
          <w:sz w:val="18"/>
          <w:szCs w:val="22"/>
          <w:lang w:val="es-ES"/>
        </w:rPr>
      </w:pPr>
      <w:r w:rsidRPr="00713C4D">
        <w:rPr>
          <w:rFonts w:asciiTheme="minorHAnsi" w:hAnsiTheme="minorHAnsi"/>
          <w:b/>
          <w:color w:val="071D49" w:themeColor="text1"/>
          <w:sz w:val="18"/>
          <w:szCs w:val="18"/>
          <w:lang w:val="es-ES"/>
        </w:rPr>
        <w:t>En cuanto al plazo de ejecución del proyecto</w:t>
      </w:r>
      <w:r w:rsidRPr="00F80C2F">
        <w:rPr>
          <w:rFonts w:asciiTheme="minorHAnsi" w:hAnsiTheme="minorHAnsi"/>
          <w:b/>
          <w:color w:val="071D49" w:themeColor="text1"/>
          <w:sz w:val="18"/>
          <w:szCs w:val="18"/>
          <w:lang w:val="es-ES"/>
        </w:rPr>
        <w:t xml:space="preserve">: </w:t>
      </w:r>
      <w:r w:rsidR="006E3E9C">
        <w:rPr>
          <w:rFonts w:asciiTheme="minorHAnsi" w:hAnsiTheme="minorHAnsi"/>
          <w:bCs/>
          <w:color w:val="071D49" w:themeColor="text1"/>
          <w:sz w:val="18"/>
          <w:szCs w:val="18"/>
          <w:lang w:val="es-ES"/>
        </w:rPr>
        <w:t>p</w:t>
      </w:r>
      <w:r w:rsidRPr="00F80C2F">
        <w:rPr>
          <w:rFonts w:asciiTheme="minorHAnsi" w:hAnsiTheme="minorHAnsi"/>
          <w:bCs/>
          <w:color w:val="071D49" w:themeColor="text1"/>
          <w:sz w:val="18"/>
          <w:szCs w:val="18"/>
          <w:lang w:val="es-ES"/>
        </w:rPr>
        <w:t xml:space="preserve">odrán participar en la </w:t>
      </w:r>
      <w:r w:rsidR="0072210F">
        <w:rPr>
          <w:rFonts w:asciiTheme="minorHAnsi" w:hAnsiTheme="minorHAnsi"/>
          <w:bCs/>
          <w:color w:val="071D49" w:themeColor="text1"/>
          <w:sz w:val="18"/>
          <w:szCs w:val="18"/>
          <w:lang w:val="es-ES"/>
        </w:rPr>
        <w:t>C</w:t>
      </w:r>
      <w:r w:rsidRPr="00F80C2F">
        <w:rPr>
          <w:rFonts w:asciiTheme="minorHAnsi" w:hAnsiTheme="minorHAnsi"/>
          <w:bCs/>
          <w:color w:val="071D49" w:themeColor="text1"/>
          <w:sz w:val="18"/>
          <w:szCs w:val="18"/>
          <w:lang w:val="es-ES"/>
        </w:rPr>
        <w:t>onvocatoria proyectos que cuenten con un plazo de finalización no superior a los 24 meses desde la firma del contrato, con independencia de que en el momento de la solicitud sean proyectos en fase de diseño, proyectos en fase de implementación o proyectos que supongan la continuación, ampliación o mejora de un proyecto ya implantado como práctica habitual.</w:t>
      </w:r>
      <w:r w:rsidR="00826FED" w:rsidRPr="00F80C2F">
        <w:rPr>
          <w:rFonts w:asciiTheme="minorHAnsi" w:eastAsiaTheme="minorHAnsi" w:hAnsiTheme="minorHAnsi" w:cstheme="minorBidi"/>
          <w:color w:val="071D49" w:themeColor="text1"/>
          <w:sz w:val="18"/>
          <w:szCs w:val="22"/>
          <w:lang w:val="es-ES"/>
        </w:rPr>
        <w:t xml:space="preserve"> </w:t>
      </w:r>
    </w:p>
    <w:p w14:paraId="62433C0D" w14:textId="1F2CD5DD" w:rsidR="00285F36" w:rsidRPr="007A1433" w:rsidRDefault="003E34B8" w:rsidP="00713C4D">
      <w:pPr>
        <w:pStyle w:val="ListParagraph"/>
        <w:numPr>
          <w:ilvl w:val="0"/>
          <w:numId w:val="5"/>
        </w:numPr>
        <w:spacing w:after="200" w:line="288" w:lineRule="auto"/>
        <w:jc w:val="both"/>
        <w:rPr>
          <w:rFonts w:asciiTheme="minorHAnsi" w:eastAsiaTheme="minorHAnsi" w:hAnsiTheme="minorHAnsi" w:cstheme="minorBidi"/>
          <w:color w:val="071D49" w:themeColor="text1"/>
          <w:sz w:val="18"/>
          <w:szCs w:val="22"/>
          <w:lang w:val="es-ES"/>
        </w:rPr>
      </w:pPr>
      <w:r w:rsidRPr="007A1433">
        <w:rPr>
          <w:rFonts w:asciiTheme="minorHAnsi" w:hAnsiTheme="minorHAnsi"/>
          <w:b/>
          <w:color w:val="071D49" w:themeColor="text1"/>
          <w:sz w:val="18"/>
          <w:szCs w:val="18"/>
          <w:lang w:val="es-ES"/>
        </w:rPr>
        <w:t xml:space="preserve">No </w:t>
      </w:r>
      <w:r w:rsidR="00714CA0" w:rsidRPr="007A1433">
        <w:rPr>
          <w:rFonts w:asciiTheme="minorHAnsi" w:hAnsiTheme="minorHAnsi"/>
          <w:b/>
          <w:color w:val="071D49" w:themeColor="text1"/>
          <w:sz w:val="18"/>
          <w:szCs w:val="18"/>
          <w:lang w:val="es-ES"/>
        </w:rPr>
        <w:t>se admitirán solicitudes</w:t>
      </w:r>
      <w:r w:rsidRPr="007A1433">
        <w:rPr>
          <w:rFonts w:asciiTheme="minorHAnsi" w:hAnsiTheme="minorHAnsi"/>
          <w:b/>
          <w:color w:val="071D49" w:themeColor="text1"/>
          <w:sz w:val="18"/>
          <w:szCs w:val="18"/>
          <w:lang w:val="es-ES"/>
        </w:rPr>
        <w:t xml:space="preserve">: </w:t>
      </w:r>
      <w:r w:rsidR="00714CA0" w:rsidRPr="007A1433">
        <w:rPr>
          <w:rFonts w:asciiTheme="minorHAnsi" w:hAnsiTheme="minorHAnsi"/>
          <w:bCs/>
          <w:color w:val="071D49" w:themeColor="text1"/>
          <w:sz w:val="18"/>
          <w:szCs w:val="18"/>
          <w:lang w:val="es-ES"/>
        </w:rPr>
        <w:t>presentadas por miembros de equipos que no hayan entregado la memoria final de proyectos financiados en convocatorias previas</w:t>
      </w:r>
      <w:r w:rsidRPr="007A1433">
        <w:rPr>
          <w:rFonts w:asciiTheme="minorHAnsi" w:hAnsiTheme="minorHAnsi"/>
          <w:bCs/>
          <w:color w:val="071D49" w:themeColor="text1"/>
          <w:sz w:val="18"/>
          <w:szCs w:val="18"/>
          <w:lang w:val="es-ES"/>
        </w:rPr>
        <w:t>.</w:t>
      </w:r>
    </w:p>
    <w:p w14:paraId="03435D42" w14:textId="77777777" w:rsidR="00826FED" w:rsidRPr="00826FED" w:rsidRDefault="00826FED" w:rsidP="00826FED">
      <w:pPr>
        <w:jc w:val="both"/>
        <w:rPr>
          <w:lang w:val="es-ES"/>
        </w:rPr>
      </w:pPr>
    </w:p>
    <w:bookmarkEnd w:id="0"/>
    <w:bookmarkEnd w:id="1"/>
    <w:p w14:paraId="4A5D6878" w14:textId="33274E5C" w:rsidR="00826FED" w:rsidRPr="00826FED" w:rsidRDefault="00826FED" w:rsidP="00826FED">
      <w:pPr>
        <w:pStyle w:val="Heading12lines"/>
        <w:rPr>
          <w:lang w:val="es-ES"/>
        </w:rPr>
      </w:pPr>
      <w:r>
        <w:rPr>
          <w:lang w:val="es-ES"/>
        </w:rPr>
        <w:t xml:space="preserve">5. </w:t>
      </w:r>
      <w:r w:rsidRPr="00826FED">
        <w:rPr>
          <w:lang w:val="es-ES"/>
        </w:rPr>
        <w:t xml:space="preserve">Plazos de resolución de la </w:t>
      </w:r>
      <w:r w:rsidR="0091618C">
        <w:rPr>
          <w:lang w:val="es-ES"/>
        </w:rPr>
        <w:t>C</w:t>
      </w:r>
      <w:r w:rsidRPr="00826FED">
        <w:rPr>
          <w:lang w:val="es-ES"/>
        </w:rPr>
        <w:t xml:space="preserve">onvocatoria de </w:t>
      </w:r>
      <w:r w:rsidR="0091618C">
        <w:rPr>
          <w:lang w:val="es-ES"/>
        </w:rPr>
        <w:t>B</w:t>
      </w:r>
      <w:r w:rsidRPr="00826FED">
        <w:rPr>
          <w:lang w:val="es-ES"/>
        </w:rPr>
        <w:t>ecas</w:t>
      </w:r>
    </w:p>
    <w:p w14:paraId="32A4FD12" w14:textId="77777777" w:rsidR="00826FED" w:rsidRDefault="00826FED" w:rsidP="00826FED">
      <w:pPr>
        <w:jc w:val="both"/>
        <w:rPr>
          <w:lang w:val="es-ES"/>
        </w:rPr>
      </w:pPr>
    </w:p>
    <w:p w14:paraId="7C7DA5F9" w14:textId="482E895E" w:rsidR="00826FED" w:rsidRPr="00826FED" w:rsidRDefault="00826FED" w:rsidP="00826FED">
      <w:pPr>
        <w:jc w:val="both"/>
        <w:rPr>
          <w:lang w:val="es-ES"/>
        </w:rPr>
      </w:pPr>
      <w:r w:rsidRPr="00826FED">
        <w:rPr>
          <w:lang w:val="es-ES"/>
        </w:rPr>
        <w:t xml:space="preserve">Las fechas previstas </w:t>
      </w:r>
      <w:r w:rsidR="00714CA0" w:rsidRPr="007A1433">
        <w:rPr>
          <w:lang w:val="es-ES"/>
        </w:rPr>
        <w:t>para la presente convocatoria</w:t>
      </w:r>
      <w:r w:rsidRPr="007A1433">
        <w:rPr>
          <w:lang w:val="es-ES"/>
        </w:rPr>
        <w:t>, son:</w:t>
      </w:r>
    </w:p>
    <w:p w14:paraId="0F43940C" w14:textId="55AD0A79" w:rsidR="00713C4D" w:rsidRPr="00696EEE" w:rsidRDefault="00713C4D" w:rsidP="00713C4D">
      <w:pPr>
        <w:pStyle w:val="ListParagraph"/>
        <w:numPr>
          <w:ilvl w:val="0"/>
          <w:numId w:val="12"/>
        </w:numPr>
        <w:spacing w:after="160" w:line="259" w:lineRule="auto"/>
        <w:jc w:val="both"/>
        <w:rPr>
          <w:rFonts w:asciiTheme="minorHAnsi" w:hAnsiTheme="minorHAnsi"/>
          <w:color w:val="071D49" w:themeColor="text1"/>
          <w:sz w:val="18"/>
          <w:szCs w:val="18"/>
        </w:rPr>
      </w:pPr>
      <w:bookmarkStart w:id="2" w:name="_Hlk4505515"/>
      <w:r w:rsidRPr="00696EEE">
        <w:rPr>
          <w:rFonts w:asciiTheme="minorHAnsi" w:hAnsiTheme="minorHAnsi"/>
          <w:color w:val="071D49" w:themeColor="text1"/>
          <w:sz w:val="18"/>
          <w:szCs w:val="18"/>
        </w:rPr>
        <w:t xml:space="preserve">Apertura de la </w:t>
      </w:r>
      <w:proofErr w:type="spellStart"/>
      <w:r w:rsidR="0091618C" w:rsidRPr="00696EEE">
        <w:rPr>
          <w:rFonts w:asciiTheme="minorHAnsi" w:hAnsiTheme="minorHAnsi"/>
          <w:color w:val="071D49" w:themeColor="text1"/>
          <w:sz w:val="18"/>
          <w:szCs w:val="18"/>
        </w:rPr>
        <w:t>C</w:t>
      </w:r>
      <w:r w:rsidRPr="00696EEE">
        <w:rPr>
          <w:rFonts w:asciiTheme="minorHAnsi" w:hAnsiTheme="minorHAnsi"/>
          <w:color w:val="071D49" w:themeColor="text1"/>
          <w:sz w:val="18"/>
          <w:szCs w:val="18"/>
        </w:rPr>
        <w:t>onvocatoria</w:t>
      </w:r>
      <w:proofErr w:type="spellEnd"/>
      <w:r w:rsidRPr="00696EEE">
        <w:rPr>
          <w:rFonts w:asciiTheme="minorHAnsi" w:hAnsiTheme="minorHAnsi"/>
          <w:color w:val="071D49" w:themeColor="text1"/>
          <w:sz w:val="18"/>
          <w:szCs w:val="18"/>
        </w:rPr>
        <w:t xml:space="preserve">: </w:t>
      </w:r>
      <w:r w:rsidR="006600AD" w:rsidRPr="00696EEE">
        <w:rPr>
          <w:rFonts w:asciiTheme="minorHAnsi" w:hAnsiTheme="minorHAnsi"/>
          <w:color w:val="071D49" w:themeColor="text1"/>
          <w:sz w:val="18"/>
          <w:szCs w:val="18"/>
        </w:rPr>
        <w:t>29</w:t>
      </w:r>
      <w:r w:rsidR="0042520A" w:rsidRPr="00696EEE">
        <w:rPr>
          <w:rFonts w:asciiTheme="minorHAnsi" w:hAnsiTheme="minorHAnsi"/>
          <w:color w:val="071D49" w:themeColor="text1"/>
          <w:sz w:val="18"/>
          <w:szCs w:val="18"/>
        </w:rPr>
        <w:t>/04/202</w:t>
      </w:r>
      <w:r w:rsidR="006600AD" w:rsidRPr="00696EEE">
        <w:rPr>
          <w:rFonts w:asciiTheme="minorHAnsi" w:hAnsiTheme="minorHAnsi"/>
          <w:color w:val="071D49" w:themeColor="text1"/>
          <w:sz w:val="18"/>
          <w:szCs w:val="18"/>
        </w:rPr>
        <w:t>4</w:t>
      </w:r>
      <w:r w:rsidR="0042520A" w:rsidRPr="00696EEE">
        <w:rPr>
          <w:rFonts w:asciiTheme="minorHAnsi" w:hAnsiTheme="minorHAnsi"/>
          <w:color w:val="071D49" w:themeColor="text1"/>
          <w:sz w:val="18"/>
          <w:szCs w:val="18"/>
        </w:rPr>
        <w:t>.</w:t>
      </w:r>
    </w:p>
    <w:p w14:paraId="2E934676" w14:textId="7170AE5F" w:rsidR="00713C4D" w:rsidRPr="00696EEE" w:rsidRDefault="00713C4D" w:rsidP="00713C4D">
      <w:pPr>
        <w:pStyle w:val="ListParagraph"/>
        <w:numPr>
          <w:ilvl w:val="0"/>
          <w:numId w:val="12"/>
        </w:numPr>
        <w:spacing w:after="160" w:line="259" w:lineRule="auto"/>
        <w:jc w:val="both"/>
        <w:rPr>
          <w:rFonts w:asciiTheme="minorHAnsi" w:hAnsiTheme="minorHAnsi"/>
          <w:color w:val="071D49" w:themeColor="text1"/>
          <w:sz w:val="18"/>
          <w:szCs w:val="18"/>
        </w:rPr>
      </w:pPr>
      <w:proofErr w:type="spellStart"/>
      <w:r w:rsidRPr="00696EEE">
        <w:rPr>
          <w:rFonts w:asciiTheme="minorHAnsi" w:hAnsiTheme="minorHAnsi"/>
          <w:color w:val="071D49" w:themeColor="text1"/>
          <w:sz w:val="18"/>
          <w:szCs w:val="18"/>
        </w:rPr>
        <w:t>Cierre</w:t>
      </w:r>
      <w:proofErr w:type="spellEnd"/>
      <w:r w:rsidRPr="00696EEE">
        <w:rPr>
          <w:rFonts w:asciiTheme="minorHAnsi" w:hAnsiTheme="minorHAnsi"/>
          <w:color w:val="071D49" w:themeColor="text1"/>
          <w:sz w:val="18"/>
          <w:szCs w:val="18"/>
        </w:rPr>
        <w:t xml:space="preserve"> de la </w:t>
      </w:r>
      <w:proofErr w:type="spellStart"/>
      <w:r w:rsidR="0091618C" w:rsidRPr="00696EEE">
        <w:rPr>
          <w:rFonts w:asciiTheme="minorHAnsi" w:hAnsiTheme="minorHAnsi"/>
          <w:color w:val="071D49" w:themeColor="text1"/>
          <w:sz w:val="18"/>
          <w:szCs w:val="18"/>
        </w:rPr>
        <w:t>C</w:t>
      </w:r>
      <w:r w:rsidRPr="00696EEE">
        <w:rPr>
          <w:rFonts w:asciiTheme="minorHAnsi" w:hAnsiTheme="minorHAnsi"/>
          <w:color w:val="071D49" w:themeColor="text1"/>
          <w:sz w:val="18"/>
          <w:szCs w:val="18"/>
        </w:rPr>
        <w:t>onvocatoria</w:t>
      </w:r>
      <w:proofErr w:type="spellEnd"/>
      <w:r w:rsidRPr="00696EEE">
        <w:rPr>
          <w:rFonts w:asciiTheme="minorHAnsi" w:hAnsiTheme="minorHAnsi"/>
          <w:color w:val="071D49" w:themeColor="text1"/>
          <w:sz w:val="18"/>
          <w:szCs w:val="18"/>
        </w:rPr>
        <w:t xml:space="preserve">: </w:t>
      </w:r>
      <w:r w:rsidR="007A1433" w:rsidRPr="00696EEE">
        <w:rPr>
          <w:rFonts w:asciiTheme="minorHAnsi" w:hAnsiTheme="minorHAnsi"/>
          <w:color w:val="071D49" w:themeColor="text1"/>
          <w:sz w:val="18"/>
          <w:szCs w:val="18"/>
        </w:rPr>
        <w:t>2</w:t>
      </w:r>
      <w:r w:rsidR="00A9660E" w:rsidRPr="00696EEE">
        <w:rPr>
          <w:rFonts w:asciiTheme="minorHAnsi" w:hAnsiTheme="minorHAnsi"/>
          <w:color w:val="071D49" w:themeColor="text1"/>
          <w:sz w:val="18"/>
          <w:szCs w:val="18"/>
        </w:rPr>
        <w:t>8</w:t>
      </w:r>
      <w:r w:rsidR="007A1433" w:rsidRPr="00696EEE">
        <w:rPr>
          <w:rFonts w:asciiTheme="minorHAnsi" w:hAnsiTheme="minorHAnsi"/>
          <w:color w:val="071D49" w:themeColor="text1"/>
          <w:sz w:val="18"/>
          <w:szCs w:val="18"/>
        </w:rPr>
        <w:t>/06/202</w:t>
      </w:r>
      <w:r w:rsidR="00A9660E" w:rsidRPr="00696EEE">
        <w:rPr>
          <w:rFonts w:asciiTheme="minorHAnsi" w:hAnsiTheme="minorHAnsi"/>
          <w:color w:val="071D49" w:themeColor="text1"/>
          <w:sz w:val="18"/>
          <w:szCs w:val="18"/>
        </w:rPr>
        <w:t>4.</w:t>
      </w:r>
    </w:p>
    <w:p w14:paraId="6302D5E3" w14:textId="765D5393" w:rsidR="00713C4D" w:rsidRPr="00696EEE" w:rsidRDefault="00713C4D" w:rsidP="00713C4D">
      <w:pPr>
        <w:pStyle w:val="ListParagraph"/>
        <w:numPr>
          <w:ilvl w:val="0"/>
          <w:numId w:val="12"/>
        </w:numPr>
        <w:spacing w:after="160" w:line="259" w:lineRule="auto"/>
        <w:jc w:val="both"/>
        <w:rPr>
          <w:rFonts w:asciiTheme="minorHAnsi" w:hAnsiTheme="minorHAnsi"/>
          <w:color w:val="071D49" w:themeColor="text1"/>
          <w:sz w:val="18"/>
          <w:szCs w:val="18"/>
        </w:rPr>
      </w:pPr>
      <w:proofErr w:type="spellStart"/>
      <w:r w:rsidRPr="00696EEE">
        <w:rPr>
          <w:rFonts w:asciiTheme="minorHAnsi" w:hAnsiTheme="minorHAnsi"/>
          <w:color w:val="071D49" w:themeColor="text1"/>
          <w:sz w:val="18"/>
          <w:szCs w:val="18"/>
        </w:rPr>
        <w:t>Evaluación</w:t>
      </w:r>
      <w:proofErr w:type="spellEnd"/>
      <w:r w:rsidRPr="00696EEE">
        <w:rPr>
          <w:rFonts w:asciiTheme="minorHAnsi" w:hAnsiTheme="minorHAnsi"/>
          <w:color w:val="071D49" w:themeColor="text1"/>
          <w:sz w:val="18"/>
          <w:szCs w:val="18"/>
        </w:rPr>
        <w:t xml:space="preserve"> de </w:t>
      </w:r>
      <w:proofErr w:type="spellStart"/>
      <w:r w:rsidRPr="00696EEE">
        <w:rPr>
          <w:rFonts w:asciiTheme="minorHAnsi" w:hAnsiTheme="minorHAnsi"/>
          <w:color w:val="071D49" w:themeColor="text1"/>
          <w:sz w:val="18"/>
          <w:szCs w:val="18"/>
        </w:rPr>
        <w:t>propuestas</w:t>
      </w:r>
      <w:proofErr w:type="spellEnd"/>
      <w:r w:rsidRPr="00696EEE">
        <w:rPr>
          <w:rFonts w:asciiTheme="minorHAnsi" w:hAnsiTheme="minorHAnsi"/>
          <w:color w:val="071D49" w:themeColor="text1"/>
          <w:sz w:val="18"/>
          <w:szCs w:val="18"/>
        </w:rPr>
        <w:t xml:space="preserve">: </w:t>
      </w:r>
      <w:r w:rsidR="00D22AB5" w:rsidRPr="00696EEE">
        <w:rPr>
          <w:rFonts w:asciiTheme="minorHAnsi" w:hAnsiTheme="minorHAnsi"/>
          <w:color w:val="071D49" w:themeColor="text1"/>
          <w:sz w:val="18"/>
          <w:szCs w:val="18"/>
        </w:rPr>
        <w:t>2</w:t>
      </w:r>
      <w:r w:rsidR="004202C4" w:rsidRPr="00696EEE">
        <w:rPr>
          <w:rFonts w:asciiTheme="minorHAnsi" w:hAnsiTheme="minorHAnsi"/>
          <w:color w:val="071D49" w:themeColor="text1"/>
          <w:sz w:val="18"/>
          <w:szCs w:val="18"/>
        </w:rPr>
        <w:t>2</w:t>
      </w:r>
      <w:r w:rsidR="007A1433" w:rsidRPr="00696EEE">
        <w:rPr>
          <w:rFonts w:asciiTheme="minorHAnsi" w:hAnsiTheme="minorHAnsi"/>
          <w:color w:val="071D49" w:themeColor="text1"/>
          <w:sz w:val="18"/>
          <w:szCs w:val="18"/>
        </w:rPr>
        <w:t>/07/202</w:t>
      </w:r>
      <w:r w:rsidR="004202C4" w:rsidRPr="00696EEE">
        <w:rPr>
          <w:rFonts w:asciiTheme="minorHAnsi" w:hAnsiTheme="minorHAnsi"/>
          <w:color w:val="071D49" w:themeColor="text1"/>
          <w:sz w:val="18"/>
          <w:szCs w:val="18"/>
        </w:rPr>
        <w:t>4</w:t>
      </w:r>
      <w:r w:rsidR="007A1433" w:rsidRPr="00696EEE">
        <w:rPr>
          <w:rFonts w:asciiTheme="minorHAnsi" w:hAnsiTheme="minorHAnsi"/>
          <w:color w:val="071D49" w:themeColor="text1"/>
          <w:sz w:val="18"/>
          <w:szCs w:val="18"/>
        </w:rPr>
        <w:t xml:space="preserve"> – 1</w:t>
      </w:r>
      <w:r w:rsidR="004202C4" w:rsidRPr="00696EEE">
        <w:rPr>
          <w:rFonts w:asciiTheme="minorHAnsi" w:hAnsiTheme="minorHAnsi"/>
          <w:color w:val="071D49" w:themeColor="text1"/>
          <w:sz w:val="18"/>
          <w:szCs w:val="18"/>
        </w:rPr>
        <w:t>3</w:t>
      </w:r>
      <w:r w:rsidR="007A1433" w:rsidRPr="00696EEE">
        <w:rPr>
          <w:rFonts w:asciiTheme="minorHAnsi" w:hAnsiTheme="minorHAnsi"/>
          <w:color w:val="071D49" w:themeColor="text1"/>
          <w:sz w:val="18"/>
          <w:szCs w:val="18"/>
        </w:rPr>
        <w:t>/09/202</w:t>
      </w:r>
      <w:r w:rsidR="004202C4" w:rsidRPr="00696EEE">
        <w:rPr>
          <w:rFonts w:asciiTheme="minorHAnsi" w:hAnsiTheme="minorHAnsi"/>
          <w:color w:val="071D49" w:themeColor="text1"/>
          <w:sz w:val="18"/>
          <w:szCs w:val="18"/>
        </w:rPr>
        <w:t>4</w:t>
      </w:r>
      <w:r w:rsidR="007A1433" w:rsidRPr="00696EEE">
        <w:rPr>
          <w:rFonts w:asciiTheme="minorHAnsi" w:hAnsiTheme="minorHAnsi"/>
          <w:color w:val="071D49" w:themeColor="text1"/>
          <w:sz w:val="18"/>
          <w:szCs w:val="18"/>
        </w:rPr>
        <w:t>.</w:t>
      </w:r>
    </w:p>
    <w:p w14:paraId="7ED44811" w14:textId="6D7E987E" w:rsidR="00713C4D" w:rsidRPr="00696EEE" w:rsidRDefault="00713C4D" w:rsidP="00713C4D">
      <w:pPr>
        <w:pStyle w:val="ListParagraph"/>
        <w:numPr>
          <w:ilvl w:val="0"/>
          <w:numId w:val="12"/>
        </w:numPr>
        <w:spacing w:after="160" w:line="259" w:lineRule="auto"/>
        <w:jc w:val="both"/>
        <w:rPr>
          <w:rFonts w:asciiTheme="minorHAnsi" w:hAnsiTheme="minorHAnsi"/>
          <w:color w:val="071D49" w:themeColor="text1"/>
          <w:sz w:val="18"/>
          <w:szCs w:val="18"/>
          <w:lang w:val="es-ES"/>
        </w:rPr>
      </w:pPr>
      <w:r w:rsidRPr="00696EEE">
        <w:rPr>
          <w:rFonts w:asciiTheme="minorHAnsi" w:hAnsiTheme="minorHAnsi"/>
          <w:color w:val="071D49" w:themeColor="text1"/>
          <w:sz w:val="18"/>
          <w:szCs w:val="18"/>
          <w:lang w:val="es-ES"/>
        </w:rPr>
        <w:t xml:space="preserve">Resolución de la </w:t>
      </w:r>
      <w:r w:rsidR="0091618C" w:rsidRPr="00696EEE">
        <w:rPr>
          <w:rFonts w:asciiTheme="minorHAnsi" w:hAnsiTheme="minorHAnsi"/>
          <w:color w:val="071D49" w:themeColor="text1"/>
          <w:sz w:val="18"/>
          <w:szCs w:val="18"/>
          <w:lang w:val="es-ES"/>
        </w:rPr>
        <w:t>C</w:t>
      </w:r>
      <w:r w:rsidRPr="00696EEE">
        <w:rPr>
          <w:rFonts w:asciiTheme="minorHAnsi" w:hAnsiTheme="minorHAnsi"/>
          <w:color w:val="071D49" w:themeColor="text1"/>
          <w:sz w:val="18"/>
          <w:szCs w:val="18"/>
          <w:lang w:val="es-ES"/>
        </w:rPr>
        <w:t xml:space="preserve">onvocatoria: </w:t>
      </w:r>
      <w:r w:rsidR="0042520A" w:rsidRPr="00696EEE">
        <w:rPr>
          <w:rFonts w:asciiTheme="minorHAnsi" w:hAnsiTheme="minorHAnsi"/>
          <w:color w:val="071D49" w:themeColor="text1"/>
          <w:sz w:val="18"/>
          <w:szCs w:val="18"/>
          <w:lang w:val="es-ES"/>
        </w:rPr>
        <w:t>2</w:t>
      </w:r>
      <w:r w:rsidR="00BA55BE" w:rsidRPr="00696EEE">
        <w:rPr>
          <w:rFonts w:asciiTheme="minorHAnsi" w:hAnsiTheme="minorHAnsi"/>
          <w:color w:val="071D49" w:themeColor="text1"/>
          <w:sz w:val="18"/>
          <w:szCs w:val="18"/>
          <w:lang w:val="es-ES"/>
        </w:rPr>
        <w:t>3</w:t>
      </w:r>
      <w:r w:rsidR="007A1433" w:rsidRPr="00696EEE">
        <w:rPr>
          <w:rFonts w:asciiTheme="minorHAnsi" w:hAnsiTheme="minorHAnsi"/>
          <w:color w:val="071D49" w:themeColor="text1"/>
          <w:sz w:val="18"/>
          <w:szCs w:val="18"/>
          <w:lang w:val="es-ES"/>
        </w:rPr>
        <w:t>/</w:t>
      </w:r>
      <w:r w:rsidR="0042520A" w:rsidRPr="00696EEE">
        <w:rPr>
          <w:rFonts w:asciiTheme="minorHAnsi" w:hAnsiTheme="minorHAnsi"/>
          <w:color w:val="071D49" w:themeColor="text1"/>
          <w:sz w:val="18"/>
          <w:szCs w:val="18"/>
          <w:lang w:val="es-ES"/>
        </w:rPr>
        <w:t>09</w:t>
      </w:r>
      <w:r w:rsidR="007A1433" w:rsidRPr="00696EEE">
        <w:rPr>
          <w:rFonts w:asciiTheme="minorHAnsi" w:hAnsiTheme="minorHAnsi"/>
          <w:color w:val="071D49" w:themeColor="text1"/>
          <w:sz w:val="18"/>
          <w:szCs w:val="18"/>
          <w:lang w:val="es-ES"/>
        </w:rPr>
        <w:t>/202</w:t>
      </w:r>
      <w:r w:rsidR="00BA55BE" w:rsidRPr="00696EEE">
        <w:rPr>
          <w:rFonts w:asciiTheme="minorHAnsi" w:hAnsiTheme="minorHAnsi"/>
          <w:color w:val="071D49" w:themeColor="text1"/>
          <w:sz w:val="18"/>
          <w:szCs w:val="18"/>
          <w:lang w:val="es-ES"/>
        </w:rPr>
        <w:t>4</w:t>
      </w:r>
      <w:r w:rsidR="007A1433" w:rsidRPr="00696EEE">
        <w:rPr>
          <w:rFonts w:asciiTheme="minorHAnsi" w:hAnsiTheme="minorHAnsi"/>
          <w:color w:val="071D49" w:themeColor="text1"/>
          <w:sz w:val="18"/>
          <w:szCs w:val="18"/>
          <w:lang w:val="es-ES"/>
        </w:rPr>
        <w:t xml:space="preserve"> – </w:t>
      </w:r>
      <w:r w:rsidR="0042520A" w:rsidRPr="00696EEE">
        <w:rPr>
          <w:rFonts w:asciiTheme="minorHAnsi" w:hAnsiTheme="minorHAnsi"/>
          <w:color w:val="071D49" w:themeColor="text1"/>
          <w:sz w:val="18"/>
          <w:szCs w:val="18"/>
          <w:lang w:val="es-ES"/>
        </w:rPr>
        <w:t>0</w:t>
      </w:r>
      <w:r w:rsidR="00BA55BE" w:rsidRPr="00696EEE">
        <w:rPr>
          <w:rFonts w:asciiTheme="minorHAnsi" w:hAnsiTheme="minorHAnsi"/>
          <w:color w:val="071D49" w:themeColor="text1"/>
          <w:sz w:val="18"/>
          <w:szCs w:val="18"/>
          <w:lang w:val="es-ES"/>
        </w:rPr>
        <w:t>4</w:t>
      </w:r>
      <w:r w:rsidR="007A1433" w:rsidRPr="00696EEE">
        <w:rPr>
          <w:rFonts w:asciiTheme="minorHAnsi" w:hAnsiTheme="minorHAnsi"/>
          <w:color w:val="071D49" w:themeColor="text1"/>
          <w:sz w:val="18"/>
          <w:szCs w:val="18"/>
          <w:lang w:val="es-ES"/>
        </w:rPr>
        <w:t>/10/202</w:t>
      </w:r>
      <w:r w:rsidR="0042520A" w:rsidRPr="00696EEE">
        <w:rPr>
          <w:rFonts w:asciiTheme="minorHAnsi" w:hAnsiTheme="minorHAnsi"/>
          <w:color w:val="071D49" w:themeColor="text1"/>
          <w:sz w:val="18"/>
          <w:szCs w:val="18"/>
          <w:lang w:val="es-ES"/>
        </w:rPr>
        <w:t>3</w:t>
      </w:r>
      <w:r w:rsidR="00BA55BE" w:rsidRPr="00696EEE">
        <w:rPr>
          <w:rFonts w:asciiTheme="minorHAnsi" w:hAnsiTheme="minorHAnsi"/>
          <w:color w:val="071D49" w:themeColor="text1"/>
          <w:sz w:val="18"/>
          <w:szCs w:val="18"/>
          <w:lang w:val="es-ES"/>
        </w:rPr>
        <w:t>4.</w:t>
      </w:r>
    </w:p>
    <w:p w14:paraId="283FCA71" w14:textId="7517B39B" w:rsidR="0091618C" w:rsidRPr="00696EEE" w:rsidRDefault="0091618C" w:rsidP="00713C4D">
      <w:pPr>
        <w:pStyle w:val="ListParagraph"/>
        <w:numPr>
          <w:ilvl w:val="0"/>
          <w:numId w:val="12"/>
        </w:numPr>
        <w:spacing w:after="160" w:line="259" w:lineRule="auto"/>
        <w:jc w:val="both"/>
        <w:rPr>
          <w:rFonts w:asciiTheme="minorHAnsi" w:hAnsiTheme="minorHAnsi"/>
          <w:color w:val="071D49" w:themeColor="text1"/>
          <w:sz w:val="18"/>
          <w:szCs w:val="18"/>
          <w:lang w:val="es-ES"/>
        </w:rPr>
      </w:pPr>
      <w:r w:rsidRPr="00696EEE">
        <w:rPr>
          <w:rFonts w:asciiTheme="minorHAnsi" w:hAnsiTheme="minorHAnsi"/>
          <w:color w:val="071D49" w:themeColor="text1"/>
          <w:sz w:val="18"/>
          <w:szCs w:val="18"/>
          <w:lang w:val="es-ES"/>
        </w:rPr>
        <w:t xml:space="preserve">Comunicación </w:t>
      </w:r>
      <w:r w:rsidR="00714CA0" w:rsidRPr="00696EEE">
        <w:rPr>
          <w:rFonts w:asciiTheme="minorHAnsi" w:hAnsiTheme="minorHAnsi"/>
          <w:color w:val="071D49" w:themeColor="text1"/>
          <w:sz w:val="18"/>
          <w:szCs w:val="18"/>
          <w:lang w:val="es-ES"/>
        </w:rPr>
        <w:t>de la resolución</w:t>
      </w:r>
      <w:r w:rsidRPr="00696EEE">
        <w:rPr>
          <w:rFonts w:asciiTheme="minorHAnsi" w:hAnsiTheme="minorHAnsi"/>
          <w:color w:val="071D49" w:themeColor="text1"/>
          <w:sz w:val="18"/>
          <w:szCs w:val="18"/>
          <w:lang w:val="es-ES"/>
        </w:rPr>
        <w:t xml:space="preserve">: fecha límite </w:t>
      </w:r>
      <w:r w:rsidR="00BA55BE" w:rsidRPr="00696EEE">
        <w:rPr>
          <w:rFonts w:asciiTheme="minorHAnsi" w:hAnsiTheme="minorHAnsi"/>
          <w:color w:val="071D49" w:themeColor="text1"/>
          <w:sz w:val="18"/>
          <w:szCs w:val="18"/>
          <w:lang w:val="es-ES"/>
        </w:rPr>
        <w:t>18</w:t>
      </w:r>
      <w:r w:rsidR="007A1433" w:rsidRPr="00696EEE">
        <w:rPr>
          <w:rFonts w:asciiTheme="minorHAnsi" w:hAnsiTheme="minorHAnsi"/>
          <w:color w:val="071D49" w:themeColor="text1"/>
          <w:sz w:val="18"/>
          <w:szCs w:val="18"/>
          <w:lang w:val="es-ES"/>
        </w:rPr>
        <w:t>/10/202</w:t>
      </w:r>
      <w:r w:rsidR="00BA55BE" w:rsidRPr="00696EEE">
        <w:rPr>
          <w:rFonts w:asciiTheme="minorHAnsi" w:hAnsiTheme="minorHAnsi"/>
          <w:color w:val="071D49" w:themeColor="text1"/>
          <w:sz w:val="18"/>
          <w:szCs w:val="18"/>
          <w:lang w:val="es-ES"/>
        </w:rPr>
        <w:t>4</w:t>
      </w:r>
      <w:r w:rsidR="007A1433" w:rsidRPr="00696EEE">
        <w:rPr>
          <w:rFonts w:asciiTheme="minorHAnsi" w:hAnsiTheme="minorHAnsi"/>
          <w:color w:val="071D49" w:themeColor="text1"/>
          <w:sz w:val="18"/>
          <w:szCs w:val="18"/>
          <w:lang w:val="es-ES"/>
        </w:rPr>
        <w:t>.</w:t>
      </w:r>
    </w:p>
    <w:bookmarkEnd w:id="2"/>
    <w:p w14:paraId="4E798D9E" w14:textId="77777777" w:rsidR="00826FED" w:rsidRPr="00826FED" w:rsidRDefault="00826FED" w:rsidP="00826FED">
      <w:pPr>
        <w:spacing w:after="160" w:line="259" w:lineRule="auto"/>
        <w:jc w:val="both"/>
        <w:rPr>
          <w:color w:val="FF0000"/>
          <w:lang w:val="es-ES"/>
        </w:rPr>
      </w:pPr>
    </w:p>
    <w:p w14:paraId="283AC350" w14:textId="1B69C79D" w:rsidR="00826FED" w:rsidRPr="008B7FCA" w:rsidRDefault="00826FED" w:rsidP="00826FED">
      <w:pPr>
        <w:pStyle w:val="Heading12lines"/>
        <w:rPr>
          <w:lang w:val="es-ES"/>
        </w:rPr>
      </w:pPr>
      <w:r w:rsidRPr="008B7FCA">
        <w:rPr>
          <w:lang w:val="es-ES"/>
        </w:rPr>
        <w:t>6. Procedimiento de solicitud</w:t>
      </w:r>
    </w:p>
    <w:p w14:paraId="71DD41BB" w14:textId="77777777" w:rsidR="00826FED" w:rsidRDefault="00826FED" w:rsidP="00826FED">
      <w:pPr>
        <w:jc w:val="both"/>
        <w:rPr>
          <w:lang w:val="es-ES"/>
        </w:rPr>
      </w:pPr>
    </w:p>
    <w:p w14:paraId="71639087" w14:textId="7BB03E1D" w:rsidR="00826FED" w:rsidRPr="00826FED" w:rsidRDefault="00826FED" w:rsidP="00826FED">
      <w:pPr>
        <w:jc w:val="both"/>
        <w:rPr>
          <w:lang w:val="es-ES"/>
        </w:rPr>
      </w:pPr>
      <w:r w:rsidRPr="00826FED">
        <w:rPr>
          <w:lang w:val="es-ES"/>
        </w:rPr>
        <w:t xml:space="preserve">Para la presentación de la solicitud se dispone de un </w:t>
      </w:r>
      <w:r w:rsidRPr="00826FED">
        <w:rPr>
          <w:i/>
          <w:lang w:val="es-ES"/>
        </w:rPr>
        <w:t xml:space="preserve">formulario </w:t>
      </w:r>
      <w:r w:rsidRPr="00826FED">
        <w:rPr>
          <w:lang w:val="es-ES"/>
        </w:rPr>
        <w:t xml:space="preserve">accesible para </w:t>
      </w:r>
      <w:r w:rsidRPr="00872911">
        <w:rPr>
          <w:color w:val="FF0000"/>
          <w:lang w:val="es-ES"/>
        </w:rPr>
        <w:t xml:space="preserve">su descarga en el siguiente enlace: </w:t>
      </w:r>
      <w:hyperlink r:id="rId11" w:history="1">
        <w:r w:rsidRPr="00872911">
          <w:rPr>
            <w:rStyle w:val="Hyperlink"/>
            <w:color w:val="FF0000"/>
            <w:lang w:val="es-ES_tradnl"/>
          </w:rPr>
          <w:t>https://www.viivhealthcare.com/es-es/bienvenido/national-policy/</w:t>
        </w:r>
      </w:hyperlink>
      <w:r w:rsidRPr="00872911">
        <w:rPr>
          <w:color w:val="FF0000"/>
          <w:lang w:val="es-ES"/>
        </w:rPr>
        <w:t xml:space="preserve">. </w:t>
      </w:r>
      <w:r w:rsidRPr="00826FED">
        <w:rPr>
          <w:lang w:val="es-ES"/>
        </w:rPr>
        <w:t xml:space="preserve">Una vez cumplimentado, el formulario deberá ser remitido a la dirección </w:t>
      </w:r>
      <w:hyperlink r:id="rId12" w:history="1">
        <w:r w:rsidRPr="00826FED">
          <w:rPr>
            <w:rStyle w:val="Hyperlink"/>
            <w:lang w:val="es-ES"/>
          </w:rPr>
          <w:t>sihealth@sihealth.es</w:t>
        </w:r>
      </w:hyperlink>
      <w:r w:rsidRPr="00826FED">
        <w:rPr>
          <w:lang w:val="es-ES"/>
        </w:rPr>
        <w:t xml:space="preserve"> antes del cierre de la </w:t>
      </w:r>
      <w:r w:rsidR="0072210F">
        <w:rPr>
          <w:lang w:val="es-ES"/>
        </w:rPr>
        <w:t>C</w:t>
      </w:r>
      <w:r w:rsidRPr="00826FED">
        <w:rPr>
          <w:lang w:val="es-ES"/>
        </w:rPr>
        <w:t xml:space="preserve">onvocatoria. </w:t>
      </w:r>
    </w:p>
    <w:p w14:paraId="612A4D92" w14:textId="77777777" w:rsidR="00713C4D" w:rsidRPr="00713C4D" w:rsidRDefault="00713C4D" w:rsidP="00713C4D">
      <w:pPr>
        <w:jc w:val="both"/>
        <w:rPr>
          <w:lang w:val="es-ES"/>
        </w:rPr>
      </w:pPr>
      <w:r w:rsidRPr="00713C4D">
        <w:rPr>
          <w:lang w:val="es-ES"/>
        </w:rPr>
        <w:t>Las entidades solicitantes no podrán presentar más de una solicitud con el mismo equipo desarrollador de proyecto, y la presentación de cualquier solicitud fuera del plazo fijado supondrá su exclusión del proceso, procediéndose a comunicar tal hecho de forma expresa a la entidad solicitante.</w:t>
      </w:r>
    </w:p>
    <w:p w14:paraId="2EEEC15E" w14:textId="7EC9E021" w:rsidR="00713C4D" w:rsidRPr="00713C4D" w:rsidRDefault="00713C4D" w:rsidP="00713C4D">
      <w:pPr>
        <w:jc w:val="both"/>
        <w:rPr>
          <w:lang w:val="es-ES"/>
        </w:rPr>
      </w:pPr>
      <w:r w:rsidRPr="00713C4D">
        <w:rPr>
          <w:lang w:val="es-ES"/>
        </w:rPr>
        <w:t xml:space="preserve">En el caso de que las solicitudes se presentaran incompletas, se comunicará tal situación a la entidad solicitante, otorgándole un plazo de siete días naturales para que se proceda a la subsanación. En caso de que la entidad solicitante no presente la documentación restante o no subsane los errores en el plazo mencionado, se entenderá que renuncia a su participación en la </w:t>
      </w:r>
      <w:r w:rsidR="0072210F">
        <w:rPr>
          <w:lang w:val="es-ES"/>
        </w:rPr>
        <w:t>C</w:t>
      </w:r>
      <w:r w:rsidRPr="00713C4D">
        <w:rPr>
          <w:lang w:val="es-ES"/>
        </w:rPr>
        <w:t>onvocatoria de las becas, y su solicitud será desestimada.</w:t>
      </w:r>
    </w:p>
    <w:p w14:paraId="098C095F" w14:textId="187CF922" w:rsidR="00826FED" w:rsidRPr="00826FED" w:rsidRDefault="00713C4D" w:rsidP="00713C4D">
      <w:pPr>
        <w:jc w:val="both"/>
        <w:rPr>
          <w:lang w:val="es-ES"/>
        </w:rPr>
      </w:pPr>
      <w:r w:rsidRPr="00713C4D">
        <w:rPr>
          <w:lang w:val="es-ES"/>
        </w:rPr>
        <w:lastRenderedPageBreak/>
        <w:t xml:space="preserve">El formulario de solicitud cuenta con una serie de campos que deberán completarse </w:t>
      </w:r>
      <w:r w:rsidRPr="00713C4D">
        <w:rPr>
          <w:b/>
          <w:bCs/>
          <w:lang w:val="es-ES"/>
        </w:rPr>
        <w:t>obligatoriamente</w:t>
      </w:r>
      <w:r w:rsidRPr="00713C4D">
        <w:rPr>
          <w:lang w:val="es-ES"/>
        </w:rPr>
        <w:t>, siguiendo las indicaciones que se detallan en el mismo. Además, se permite incluir enlaces o documentos que puedan servir de complemento a la descripción del proyecto. Se recomienda la utilización de un lenguaje claro y sintético, que permita una buena comprensión de todo el proyecto. El formulario de solicitud se estructura en las siguientes partes</w:t>
      </w:r>
      <w:r w:rsidR="00826FED" w:rsidRPr="00826FED">
        <w:rPr>
          <w:lang w:val="es-ES"/>
        </w:rPr>
        <w:t>:</w:t>
      </w:r>
    </w:p>
    <w:p w14:paraId="5F0074B6" w14:textId="23CF05C1"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bookmarkStart w:id="3" w:name="_Hlk4664417"/>
      <w:proofErr w:type="spellStart"/>
      <w:r w:rsidRPr="00713C4D">
        <w:rPr>
          <w:rFonts w:asciiTheme="minorHAnsi" w:hAnsiTheme="minorHAnsi"/>
          <w:color w:val="071D49" w:themeColor="text1"/>
          <w:sz w:val="18"/>
          <w:szCs w:val="18"/>
        </w:rPr>
        <w:t>Título</w:t>
      </w:r>
      <w:proofErr w:type="spellEnd"/>
      <w:r w:rsidRPr="00713C4D">
        <w:rPr>
          <w:rFonts w:asciiTheme="minorHAnsi" w:hAnsiTheme="minorHAnsi"/>
          <w:color w:val="071D49" w:themeColor="text1"/>
          <w:sz w:val="18"/>
          <w:szCs w:val="18"/>
        </w:rPr>
        <w:t xml:space="preserve"> del </w:t>
      </w:r>
      <w:proofErr w:type="spellStart"/>
      <w:r w:rsidRPr="00713C4D">
        <w:rPr>
          <w:rFonts w:asciiTheme="minorHAnsi" w:hAnsiTheme="minorHAnsi"/>
          <w:color w:val="071D49" w:themeColor="text1"/>
          <w:sz w:val="18"/>
          <w:szCs w:val="18"/>
        </w:rPr>
        <w:t>proyecto</w:t>
      </w:r>
      <w:proofErr w:type="spellEnd"/>
      <w:r w:rsidR="00F80C2F">
        <w:rPr>
          <w:rFonts w:asciiTheme="minorHAnsi" w:hAnsiTheme="minorHAnsi"/>
          <w:color w:val="071D49" w:themeColor="text1"/>
          <w:sz w:val="18"/>
          <w:szCs w:val="18"/>
        </w:rPr>
        <w:t>.</w:t>
      </w:r>
    </w:p>
    <w:p w14:paraId="2F8A465B" w14:textId="581C814C" w:rsidR="00713C4D" w:rsidRPr="00F80C2F"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lang w:val="es-ES"/>
        </w:rPr>
      </w:pPr>
      <w:r w:rsidRPr="00F80C2F">
        <w:rPr>
          <w:rFonts w:asciiTheme="minorHAnsi" w:hAnsiTheme="minorHAnsi"/>
          <w:color w:val="071D49" w:themeColor="text1"/>
          <w:sz w:val="18"/>
          <w:szCs w:val="18"/>
          <w:lang w:val="es-ES"/>
        </w:rPr>
        <w:t>Información general de la solicitud</w:t>
      </w:r>
      <w:r w:rsidR="00F80C2F" w:rsidRPr="00F80C2F">
        <w:rPr>
          <w:rFonts w:asciiTheme="minorHAnsi" w:hAnsiTheme="minorHAnsi"/>
          <w:color w:val="071D49" w:themeColor="text1"/>
          <w:sz w:val="18"/>
          <w:szCs w:val="18"/>
          <w:lang w:val="es-ES"/>
        </w:rPr>
        <w:t>.</w:t>
      </w:r>
      <w:r w:rsidRPr="00F80C2F">
        <w:rPr>
          <w:rFonts w:asciiTheme="minorHAnsi" w:hAnsiTheme="minorHAnsi"/>
          <w:color w:val="071D49" w:themeColor="text1"/>
          <w:sz w:val="18"/>
          <w:szCs w:val="18"/>
          <w:lang w:val="es-ES"/>
        </w:rPr>
        <w:t xml:space="preserve"> </w:t>
      </w:r>
    </w:p>
    <w:p w14:paraId="66B9DB89" w14:textId="589925B0"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r w:rsidRPr="00713C4D">
        <w:rPr>
          <w:rFonts w:asciiTheme="minorHAnsi" w:hAnsiTheme="minorHAnsi"/>
          <w:color w:val="071D49" w:themeColor="text1"/>
          <w:sz w:val="18"/>
          <w:szCs w:val="18"/>
        </w:rPr>
        <w:t xml:space="preserve">Tipo de </w:t>
      </w:r>
      <w:proofErr w:type="spellStart"/>
      <w:r w:rsidRPr="00713C4D">
        <w:rPr>
          <w:rFonts w:asciiTheme="minorHAnsi" w:hAnsiTheme="minorHAnsi"/>
          <w:color w:val="071D49" w:themeColor="text1"/>
          <w:sz w:val="18"/>
          <w:szCs w:val="18"/>
        </w:rPr>
        <w:t>proyecto</w:t>
      </w:r>
      <w:proofErr w:type="spellEnd"/>
      <w:r w:rsidR="00F80C2F">
        <w:rPr>
          <w:rFonts w:asciiTheme="minorHAnsi" w:hAnsiTheme="minorHAnsi"/>
          <w:color w:val="071D49" w:themeColor="text1"/>
          <w:sz w:val="18"/>
          <w:szCs w:val="18"/>
        </w:rPr>
        <w:t>.</w:t>
      </w:r>
    </w:p>
    <w:p w14:paraId="032805BE" w14:textId="0647AC0E"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Resumen</w:t>
      </w:r>
      <w:proofErr w:type="spellEnd"/>
      <w:r w:rsidRPr="00713C4D">
        <w:rPr>
          <w:rFonts w:asciiTheme="minorHAnsi" w:hAnsiTheme="minorHAnsi"/>
          <w:color w:val="071D49" w:themeColor="text1"/>
          <w:sz w:val="18"/>
          <w:szCs w:val="18"/>
        </w:rPr>
        <w:t xml:space="preserve"> </w:t>
      </w:r>
      <w:proofErr w:type="spellStart"/>
      <w:r w:rsidRPr="00713C4D">
        <w:rPr>
          <w:rFonts w:asciiTheme="minorHAnsi" w:hAnsiTheme="minorHAnsi"/>
          <w:color w:val="071D49" w:themeColor="text1"/>
          <w:sz w:val="18"/>
          <w:szCs w:val="18"/>
        </w:rPr>
        <w:t>ejecutivo</w:t>
      </w:r>
      <w:proofErr w:type="spellEnd"/>
      <w:r w:rsidR="00F80C2F">
        <w:rPr>
          <w:rFonts w:asciiTheme="minorHAnsi" w:hAnsiTheme="minorHAnsi"/>
          <w:color w:val="071D49" w:themeColor="text1"/>
          <w:sz w:val="18"/>
          <w:szCs w:val="18"/>
        </w:rPr>
        <w:t>.</w:t>
      </w:r>
      <w:r w:rsidRPr="00713C4D">
        <w:rPr>
          <w:rFonts w:asciiTheme="minorHAnsi" w:hAnsiTheme="minorHAnsi"/>
          <w:color w:val="071D49" w:themeColor="text1"/>
          <w:sz w:val="18"/>
          <w:szCs w:val="18"/>
        </w:rPr>
        <w:t xml:space="preserve"> </w:t>
      </w:r>
    </w:p>
    <w:p w14:paraId="3170FDE0" w14:textId="40EA60E5"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Antecedentes</w:t>
      </w:r>
      <w:proofErr w:type="spellEnd"/>
      <w:r w:rsidR="00F80C2F">
        <w:rPr>
          <w:rFonts w:asciiTheme="minorHAnsi" w:hAnsiTheme="minorHAnsi"/>
          <w:color w:val="071D49" w:themeColor="text1"/>
          <w:sz w:val="18"/>
          <w:szCs w:val="18"/>
        </w:rPr>
        <w:t>.</w:t>
      </w:r>
      <w:r w:rsidRPr="00713C4D">
        <w:rPr>
          <w:rFonts w:asciiTheme="minorHAnsi" w:hAnsiTheme="minorHAnsi"/>
          <w:color w:val="071D49" w:themeColor="text1"/>
          <w:sz w:val="18"/>
          <w:szCs w:val="18"/>
        </w:rPr>
        <w:t xml:space="preserve">  </w:t>
      </w:r>
    </w:p>
    <w:p w14:paraId="56C84887" w14:textId="7A93FA9E"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Equipo</w:t>
      </w:r>
      <w:proofErr w:type="spellEnd"/>
      <w:r w:rsidRPr="00713C4D">
        <w:rPr>
          <w:rFonts w:asciiTheme="minorHAnsi" w:hAnsiTheme="minorHAnsi"/>
          <w:color w:val="071D49" w:themeColor="text1"/>
          <w:sz w:val="18"/>
          <w:szCs w:val="18"/>
        </w:rPr>
        <w:t xml:space="preserve"> de </w:t>
      </w:r>
      <w:proofErr w:type="spellStart"/>
      <w:r w:rsidRPr="00713C4D">
        <w:rPr>
          <w:rFonts w:asciiTheme="minorHAnsi" w:hAnsiTheme="minorHAnsi"/>
          <w:color w:val="071D49" w:themeColor="text1"/>
          <w:sz w:val="18"/>
          <w:szCs w:val="18"/>
        </w:rPr>
        <w:t>trabajo</w:t>
      </w:r>
      <w:proofErr w:type="spellEnd"/>
      <w:r w:rsidR="00F80C2F">
        <w:rPr>
          <w:rFonts w:asciiTheme="minorHAnsi" w:hAnsiTheme="minorHAnsi"/>
          <w:color w:val="071D49" w:themeColor="text1"/>
          <w:sz w:val="18"/>
          <w:szCs w:val="18"/>
        </w:rPr>
        <w:t>.</w:t>
      </w:r>
    </w:p>
    <w:p w14:paraId="5C933ED4" w14:textId="1A027FE7"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Organizaciones</w:t>
      </w:r>
      <w:proofErr w:type="spellEnd"/>
      <w:r w:rsidRPr="00713C4D">
        <w:rPr>
          <w:rFonts w:asciiTheme="minorHAnsi" w:hAnsiTheme="minorHAnsi"/>
          <w:color w:val="071D49" w:themeColor="text1"/>
          <w:sz w:val="18"/>
          <w:szCs w:val="18"/>
        </w:rPr>
        <w:t xml:space="preserve"> </w:t>
      </w:r>
      <w:proofErr w:type="spellStart"/>
      <w:r w:rsidRPr="00713C4D">
        <w:rPr>
          <w:rFonts w:asciiTheme="minorHAnsi" w:hAnsiTheme="minorHAnsi"/>
          <w:color w:val="071D49" w:themeColor="text1"/>
          <w:sz w:val="18"/>
          <w:szCs w:val="18"/>
        </w:rPr>
        <w:t>colaboradoras</w:t>
      </w:r>
      <w:proofErr w:type="spellEnd"/>
      <w:r w:rsidR="00F80C2F">
        <w:rPr>
          <w:rFonts w:asciiTheme="minorHAnsi" w:hAnsiTheme="minorHAnsi"/>
          <w:color w:val="071D49" w:themeColor="text1"/>
          <w:sz w:val="18"/>
          <w:szCs w:val="18"/>
        </w:rPr>
        <w:t>.</w:t>
      </w:r>
    </w:p>
    <w:p w14:paraId="17DE386A" w14:textId="061DFEFD"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lang w:val="es-ES"/>
        </w:rPr>
      </w:pPr>
      <w:r w:rsidRPr="00713C4D">
        <w:rPr>
          <w:rFonts w:asciiTheme="minorHAnsi" w:hAnsiTheme="minorHAnsi"/>
          <w:color w:val="071D49" w:themeColor="text1"/>
          <w:sz w:val="18"/>
          <w:szCs w:val="18"/>
          <w:lang w:val="es-ES"/>
        </w:rPr>
        <w:t>Componentes del modelo de atención al paciente</w:t>
      </w:r>
      <w:r w:rsidR="00AC18D6">
        <w:rPr>
          <w:rFonts w:asciiTheme="minorHAnsi" w:hAnsiTheme="minorHAnsi"/>
          <w:color w:val="071D49" w:themeColor="text1"/>
          <w:sz w:val="18"/>
          <w:szCs w:val="18"/>
          <w:lang w:val="es-ES"/>
        </w:rPr>
        <w:t xml:space="preserve"> con</w:t>
      </w:r>
      <w:r w:rsidR="002D3C43">
        <w:rPr>
          <w:rFonts w:asciiTheme="minorHAnsi" w:hAnsiTheme="minorHAnsi"/>
          <w:color w:val="071D49" w:themeColor="text1"/>
          <w:sz w:val="18"/>
          <w:szCs w:val="18"/>
          <w:lang w:val="es-ES"/>
        </w:rPr>
        <w:t xml:space="preserve"> </w:t>
      </w:r>
      <w:r w:rsidRPr="00713C4D">
        <w:rPr>
          <w:rFonts w:asciiTheme="minorHAnsi" w:hAnsiTheme="minorHAnsi"/>
          <w:color w:val="071D49" w:themeColor="text1"/>
          <w:sz w:val="18"/>
          <w:szCs w:val="18"/>
          <w:lang w:val="es-ES"/>
        </w:rPr>
        <w:t>VIH</w:t>
      </w:r>
      <w:r w:rsidR="00F80C2F">
        <w:rPr>
          <w:rFonts w:asciiTheme="minorHAnsi" w:hAnsiTheme="minorHAnsi"/>
          <w:color w:val="071D49" w:themeColor="text1"/>
          <w:sz w:val="18"/>
          <w:szCs w:val="18"/>
          <w:lang w:val="es-ES"/>
        </w:rPr>
        <w:t>.</w:t>
      </w:r>
    </w:p>
    <w:p w14:paraId="4326F57A" w14:textId="0901F63A"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Objetivos</w:t>
      </w:r>
      <w:proofErr w:type="spellEnd"/>
      <w:r w:rsidRPr="00713C4D">
        <w:rPr>
          <w:rFonts w:asciiTheme="minorHAnsi" w:hAnsiTheme="minorHAnsi"/>
          <w:color w:val="071D49" w:themeColor="text1"/>
          <w:sz w:val="18"/>
          <w:szCs w:val="18"/>
        </w:rPr>
        <w:t xml:space="preserve"> y </w:t>
      </w:r>
      <w:proofErr w:type="spellStart"/>
      <w:r w:rsidRPr="00713C4D">
        <w:rPr>
          <w:rFonts w:asciiTheme="minorHAnsi" w:hAnsiTheme="minorHAnsi"/>
          <w:color w:val="071D49" w:themeColor="text1"/>
          <w:sz w:val="18"/>
          <w:szCs w:val="18"/>
        </w:rPr>
        <w:t>resultados</w:t>
      </w:r>
      <w:proofErr w:type="spellEnd"/>
      <w:r w:rsidRPr="00713C4D">
        <w:rPr>
          <w:rFonts w:asciiTheme="minorHAnsi" w:hAnsiTheme="minorHAnsi"/>
          <w:color w:val="071D49" w:themeColor="text1"/>
          <w:sz w:val="18"/>
          <w:szCs w:val="18"/>
        </w:rPr>
        <w:t xml:space="preserve"> </w:t>
      </w:r>
      <w:proofErr w:type="spellStart"/>
      <w:r w:rsidRPr="00713C4D">
        <w:rPr>
          <w:rFonts w:asciiTheme="minorHAnsi" w:hAnsiTheme="minorHAnsi"/>
          <w:color w:val="071D49" w:themeColor="text1"/>
          <w:sz w:val="18"/>
          <w:szCs w:val="18"/>
        </w:rPr>
        <w:t>esperados</w:t>
      </w:r>
      <w:proofErr w:type="spellEnd"/>
      <w:r w:rsidR="00F80C2F">
        <w:rPr>
          <w:rFonts w:asciiTheme="minorHAnsi" w:hAnsiTheme="minorHAnsi"/>
          <w:color w:val="071D49" w:themeColor="text1"/>
          <w:sz w:val="18"/>
          <w:szCs w:val="18"/>
        </w:rPr>
        <w:t>.</w:t>
      </w:r>
    </w:p>
    <w:p w14:paraId="48A42149" w14:textId="77777777"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lang w:val="es-ES"/>
        </w:rPr>
      </w:pPr>
      <w:r w:rsidRPr="00713C4D">
        <w:rPr>
          <w:rFonts w:asciiTheme="minorHAnsi" w:hAnsiTheme="minorHAnsi"/>
          <w:color w:val="071D49" w:themeColor="text1"/>
          <w:sz w:val="18"/>
          <w:szCs w:val="18"/>
          <w:lang w:val="es-ES"/>
        </w:rPr>
        <w:t>Planificación del proyecto detallando sus actividades y plazos de ejecución.</w:t>
      </w:r>
    </w:p>
    <w:p w14:paraId="5B9DD0CC" w14:textId="2B4FB476"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Metodología</w:t>
      </w:r>
      <w:proofErr w:type="spellEnd"/>
      <w:r w:rsidRPr="00713C4D">
        <w:rPr>
          <w:rFonts w:asciiTheme="minorHAnsi" w:hAnsiTheme="minorHAnsi"/>
          <w:color w:val="071D49" w:themeColor="text1"/>
          <w:sz w:val="18"/>
          <w:szCs w:val="18"/>
        </w:rPr>
        <w:t xml:space="preserve"> de </w:t>
      </w:r>
      <w:proofErr w:type="spellStart"/>
      <w:r w:rsidRPr="00713C4D">
        <w:rPr>
          <w:rFonts w:asciiTheme="minorHAnsi" w:hAnsiTheme="minorHAnsi"/>
          <w:color w:val="071D49" w:themeColor="text1"/>
          <w:sz w:val="18"/>
          <w:szCs w:val="18"/>
        </w:rPr>
        <w:t>evaluación</w:t>
      </w:r>
      <w:proofErr w:type="spellEnd"/>
      <w:r w:rsidR="00F80C2F">
        <w:rPr>
          <w:rFonts w:asciiTheme="minorHAnsi" w:hAnsiTheme="minorHAnsi"/>
          <w:color w:val="071D49" w:themeColor="text1"/>
          <w:sz w:val="18"/>
          <w:szCs w:val="18"/>
        </w:rPr>
        <w:t>.</w:t>
      </w:r>
      <w:r w:rsidRPr="00713C4D">
        <w:rPr>
          <w:rFonts w:asciiTheme="minorHAnsi" w:hAnsiTheme="minorHAnsi"/>
          <w:color w:val="071D49" w:themeColor="text1"/>
          <w:sz w:val="18"/>
          <w:szCs w:val="18"/>
        </w:rPr>
        <w:t xml:space="preserve"> </w:t>
      </w:r>
    </w:p>
    <w:p w14:paraId="506015CC" w14:textId="2BCADED9"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lang w:val="es-ES"/>
        </w:rPr>
      </w:pPr>
      <w:r w:rsidRPr="00713C4D">
        <w:rPr>
          <w:rFonts w:asciiTheme="minorHAnsi" w:hAnsiTheme="minorHAnsi"/>
          <w:color w:val="071D49" w:themeColor="text1"/>
          <w:sz w:val="18"/>
          <w:szCs w:val="18"/>
          <w:lang w:val="es-ES"/>
        </w:rPr>
        <w:t>Factores que garantizan la viabilidad, replicabilidad y sostenibilidad del proyecto</w:t>
      </w:r>
      <w:r w:rsidR="00F80C2F">
        <w:rPr>
          <w:rFonts w:asciiTheme="minorHAnsi" w:hAnsiTheme="minorHAnsi"/>
          <w:color w:val="071D49" w:themeColor="text1"/>
          <w:sz w:val="18"/>
          <w:szCs w:val="18"/>
          <w:lang w:val="es-ES"/>
        </w:rPr>
        <w:t>.</w:t>
      </w:r>
    </w:p>
    <w:p w14:paraId="11311E56" w14:textId="6D1A4D9F" w:rsidR="00713C4D" w:rsidRPr="00713C4D" w:rsidRDefault="00713C4D" w:rsidP="00713C4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Presupuesto</w:t>
      </w:r>
      <w:proofErr w:type="spellEnd"/>
      <w:r w:rsidR="00F80C2F">
        <w:rPr>
          <w:rFonts w:asciiTheme="minorHAnsi" w:hAnsiTheme="minorHAnsi"/>
          <w:color w:val="071D49" w:themeColor="text1"/>
          <w:sz w:val="18"/>
          <w:szCs w:val="18"/>
        </w:rPr>
        <w:t>.</w:t>
      </w:r>
    </w:p>
    <w:p w14:paraId="5683F8C1" w14:textId="2520BE48" w:rsidR="00826FED" w:rsidRDefault="00713C4D" w:rsidP="00826FED">
      <w:pPr>
        <w:pStyle w:val="ListParagraph"/>
        <w:numPr>
          <w:ilvl w:val="0"/>
          <w:numId w:val="8"/>
        </w:numPr>
        <w:spacing w:after="200" w:line="288" w:lineRule="auto"/>
        <w:jc w:val="both"/>
        <w:rPr>
          <w:rFonts w:asciiTheme="minorHAnsi" w:hAnsiTheme="minorHAnsi"/>
          <w:color w:val="071D49" w:themeColor="text1"/>
          <w:sz w:val="18"/>
          <w:szCs w:val="18"/>
        </w:rPr>
      </w:pPr>
      <w:proofErr w:type="spellStart"/>
      <w:r w:rsidRPr="00713C4D">
        <w:rPr>
          <w:rFonts w:asciiTheme="minorHAnsi" w:hAnsiTheme="minorHAnsi"/>
          <w:color w:val="071D49" w:themeColor="text1"/>
          <w:sz w:val="18"/>
          <w:szCs w:val="18"/>
        </w:rPr>
        <w:t>Información</w:t>
      </w:r>
      <w:proofErr w:type="spellEnd"/>
      <w:r w:rsidRPr="00713C4D">
        <w:rPr>
          <w:rFonts w:asciiTheme="minorHAnsi" w:hAnsiTheme="minorHAnsi"/>
          <w:color w:val="071D49" w:themeColor="text1"/>
          <w:sz w:val="18"/>
          <w:szCs w:val="18"/>
        </w:rPr>
        <w:t xml:space="preserve"> </w:t>
      </w:r>
      <w:proofErr w:type="spellStart"/>
      <w:r w:rsidRPr="00713C4D">
        <w:rPr>
          <w:rFonts w:asciiTheme="minorHAnsi" w:hAnsiTheme="minorHAnsi"/>
          <w:color w:val="071D49" w:themeColor="text1"/>
          <w:sz w:val="18"/>
          <w:szCs w:val="18"/>
        </w:rPr>
        <w:t>adicional</w:t>
      </w:r>
      <w:proofErr w:type="spellEnd"/>
      <w:r w:rsidR="00F80C2F">
        <w:rPr>
          <w:rFonts w:asciiTheme="minorHAnsi" w:hAnsiTheme="minorHAnsi"/>
          <w:color w:val="071D49" w:themeColor="text1"/>
          <w:sz w:val="18"/>
          <w:szCs w:val="18"/>
        </w:rPr>
        <w:t>.</w:t>
      </w:r>
    </w:p>
    <w:p w14:paraId="11A43DA0" w14:textId="77777777" w:rsidR="00713C4D" w:rsidRPr="00713C4D" w:rsidRDefault="00713C4D" w:rsidP="00713C4D">
      <w:pPr>
        <w:spacing w:after="200" w:line="288" w:lineRule="auto"/>
        <w:jc w:val="both"/>
        <w:rPr>
          <w:szCs w:val="18"/>
        </w:rPr>
      </w:pPr>
    </w:p>
    <w:bookmarkEnd w:id="3"/>
    <w:p w14:paraId="1FEAF5DB" w14:textId="7124A32B" w:rsidR="00826FED" w:rsidRPr="00826FED" w:rsidRDefault="00826FED" w:rsidP="00826FED">
      <w:pPr>
        <w:pStyle w:val="Heading12lines"/>
      </w:pPr>
      <w:r>
        <w:t xml:space="preserve">7. </w:t>
      </w:r>
      <w:proofErr w:type="spellStart"/>
      <w:r w:rsidRPr="00826FED">
        <w:t>Proceso</w:t>
      </w:r>
      <w:proofErr w:type="spellEnd"/>
      <w:r w:rsidRPr="00826FED">
        <w:t xml:space="preserve"> de </w:t>
      </w:r>
      <w:proofErr w:type="spellStart"/>
      <w:r w:rsidRPr="00826FED">
        <w:t>evaluación</w:t>
      </w:r>
      <w:proofErr w:type="spellEnd"/>
    </w:p>
    <w:p w14:paraId="13E6A20F" w14:textId="77777777" w:rsidR="00826FED" w:rsidRPr="00826FED" w:rsidRDefault="00826FED" w:rsidP="00826FED">
      <w:pPr>
        <w:jc w:val="both"/>
        <w:rPr>
          <w:b/>
        </w:rPr>
      </w:pPr>
    </w:p>
    <w:p w14:paraId="11E3E894" w14:textId="100CD113" w:rsidR="00826FED" w:rsidRPr="00A01A47" w:rsidRDefault="00826FED" w:rsidP="00F80C2F">
      <w:pPr>
        <w:pStyle w:val="ListParagraph"/>
        <w:numPr>
          <w:ilvl w:val="0"/>
          <w:numId w:val="15"/>
        </w:numPr>
        <w:spacing w:after="160" w:line="259" w:lineRule="auto"/>
        <w:jc w:val="both"/>
        <w:rPr>
          <w:rFonts w:asciiTheme="minorHAnsi" w:hAnsiTheme="minorHAnsi"/>
          <w:b/>
          <w:color w:val="071D49" w:themeColor="text1"/>
        </w:rPr>
      </w:pPr>
      <w:proofErr w:type="spellStart"/>
      <w:r w:rsidRPr="00A01A47">
        <w:rPr>
          <w:rFonts w:asciiTheme="minorHAnsi" w:hAnsiTheme="minorHAnsi"/>
          <w:b/>
          <w:color w:val="071D49" w:themeColor="text1"/>
        </w:rPr>
        <w:t>Comité</w:t>
      </w:r>
      <w:proofErr w:type="spellEnd"/>
      <w:r w:rsidRPr="00A01A47">
        <w:rPr>
          <w:rFonts w:asciiTheme="minorHAnsi" w:hAnsiTheme="minorHAnsi"/>
          <w:b/>
          <w:color w:val="071D49" w:themeColor="text1"/>
        </w:rPr>
        <w:t xml:space="preserve"> </w:t>
      </w:r>
      <w:proofErr w:type="spellStart"/>
      <w:r w:rsidRPr="00A01A47">
        <w:rPr>
          <w:rFonts w:asciiTheme="minorHAnsi" w:hAnsiTheme="minorHAnsi"/>
          <w:b/>
          <w:color w:val="071D49"/>
        </w:rPr>
        <w:t>Científico</w:t>
      </w:r>
      <w:proofErr w:type="spellEnd"/>
    </w:p>
    <w:p w14:paraId="6F5E220C" w14:textId="77777777" w:rsidR="00826FED" w:rsidRPr="00826FED" w:rsidRDefault="00826FED" w:rsidP="00826FED">
      <w:pPr>
        <w:jc w:val="both"/>
        <w:rPr>
          <w:lang w:val="es-ES"/>
        </w:rPr>
      </w:pPr>
      <w:r w:rsidRPr="00826FED">
        <w:rPr>
          <w:lang w:val="es-ES"/>
        </w:rPr>
        <w:t>La evaluación de los proyectos recibidos se llevará a cabo por un Comité Científico independiente, constituido por:</w:t>
      </w:r>
    </w:p>
    <w:p w14:paraId="6C0FFF33" w14:textId="77777777" w:rsidR="00826FED" w:rsidRPr="00826FED" w:rsidRDefault="00826FED" w:rsidP="00826FED">
      <w:pPr>
        <w:pStyle w:val="ListParagraph"/>
        <w:numPr>
          <w:ilvl w:val="0"/>
          <w:numId w:val="11"/>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color w:val="071D49" w:themeColor="text1"/>
          <w:sz w:val="18"/>
          <w:szCs w:val="18"/>
          <w:lang w:val="es-ES"/>
        </w:rPr>
        <w:t>Dr. Santiago Moreno, Jefe de Servicio de Enfermedades Infecciosas del Hospital Universitario Ramón y Cajal, Madrid.</w:t>
      </w:r>
    </w:p>
    <w:p w14:paraId="18691DB6" w14:textId="3EB725E7" w:rsidR="001B4F72" w:rsidRPr="00696EEE" w:rsidRDefault="008C72FD" w:rsidP="001B4F72">
      <w:pPr>
        <w:pStyle w:val="ListParagraph"/>
        <w:numPr>
          <w:ilvl w:val="0"/>
          <w:numId w:val="11"/>
        </w:numPr>
        <w:spacing w:after="200" w:line="288" w:lineRule="auto"/>
        <w:jc w:val="both"/>
        <w:rPr>
          <w:rFonts w:asciiTheme="minorHAnsi" w:hAnsiTheme="minorHAnsi"/>
          <w:color w:val="071D49" w:themeColor="text1"/>
          <w:sz w:val="18"/>
          <w:szCs w:val="18"/>
          <w:lang w:val="es-ES"/>
        </w:rPr>
      </w:pPr>
      <w:r w:rsidRPr="00696EEE">
        <w:rPr>
          <w:rFonts w:asciiTheme="minorHAnsi" w:hAnsiTheme="minorHAnsi"/>
          <w:color w:val="071D49" w:themeColor="text1"/>
          <w:sz w:val="18"/>
          <w:szCs w:val="18"/>
          <w:lang w:val="es-ES"/>
        </w:rPr>
        <w:t>José Martín-Herrero</w:t>
      </w:r>
      <w:r w:rsidR="00826FED" w:rsidRPr="00696EEE">
        <w:rPr>
          <w:rFonts w:asciiTheme="minorHAnsi" w:hAnsiTheme="minorHAnsi"/>
          <w:color w:val="071D49" w:themeColor="text1"/>
          <w:sz w:val="18"/>
          <w:szCs w:val="18"/>
          <w:lang w:val="es-ES"/>
        </w:rPr>
        <w:t>, Director Médico de ViiV Healthcare España y Portugal.</w:t>
      </w:r>
    </w:p>
    <w:p w14:paraId="65C7FCD2" w14:textId="172598F1" w:rsidR="00826FED" w:rsidRPr="00696EEE" w:rsidRDefault="00826FED" w:rsidP="001B4F72">
      <w:pPr>
        <w:pStyle w:val="ListParagraph"/>
        <w:numPr>
          <w:ilvl w:val="0"/>
          <w:numId w:val="11"/>
        </w:numPr>
        <w:spacing w:after="200" w:line="288" w:lineRule="auto"/>
        <w:jc w:val="both"/>
        <w:rPr>
          <w:rFonts w:asciiTheme="majorHAnsi" w:hAnsiTheme="majorHAnsi"/>
          <w:color w:val="071D49" w:themeColor="text1"/>
          <w:sz w:val="12"/>
          <w:szCs w:val="12"/>
          <w:lang w:val="es-ES"/>
        </w:rPr>
      </w:pPr>
      <w:r w:rsidRPr="00696EEE">
        <w:rPr>
          <w:rFonts w:asciiTheme="majorHAnsi" w:hAnsiTheme="majorHAnsi"/>
          <w:color w:val="071D49" w:themeColor="text1"/>
          <w:sz w:val="18"/>
          <w:szCs w:val="12"/>
          <w:lang w:val="es-ES"/>
        </w:rPr>
        <w:t xml:space="preserve">María José Fuster, </w:t>
      </w:r>
      <w:r w:rsidR="00332D6A" w:rsidRPr="00696EEE">
        <w:rPr>
          <w:rFonts w:asciiTheme="majorHAnsi" w:hAnsiTheme="majorHAnsi"/>
          <w:color w:val="071D49" w:themeColor="text1"/>
          <w:sz w:val="18"/>
          <w:szCs w:val="12"/>
          <w:lang w:val="es-ES"/>
        </w:rPr>
        <w:t>Directora Ejecutiva de</w:t>
      </w:r>
      <w:r w:rsidRPr="00696EEE">
        <w:rPr>
          <w:rFonts w:asciiTheme="majorHAnsi" w:hAnsiTheme="majorHAnsi"/>
          <w:color w:val="071D49" w:themeColor="text1"/>
          <w:sz w:val="18"/>
          <w:szCs w:val="12"/>
          <w:lang w:val="es-ES"/>
        </w:rPr>
        <w:t xml:space="preserve"> SEISIDA.</w:t>
      </w:r>
    </w:p>
    <w:p w14:paraId="78DF5E62" w14:textId="026A7AD9" w:rsidR="0057328E" w:rsidRPr="00696EEE" w:rsidRDefault="004B2E90" w:rsidP="00B81F5C">
      <w:pPr>
        <w:pStyle w:val="ListParagraph"/>
        <w:numPr>
          <w:ilvl w:val="0"/>
          <w:numId w:val="11"/>
        </w:numPr>
        <w:spacing w:after="200" w:line="288" w:lineRule="auto"/>
        <w:jc w:val="both"/>
        <w:rPr>
          <w:rFonts w:asciiTheme="minorHAnsi" w:hAnsiTheme="minorHAnsi"/>
          <w:color w:val="071D49" w:themeColor="text1"/>
          <w:sz w:val="18"/>
          <w:szCs w:val="18"/>
          <w:lang w:val="es-ES"/>
        </w:rPr>
      </w:pPr>
      <w:r w:rsidRPr="00696EEE">
        <w:rPr>
          <w:rFonts w:asciiTheme="minorHAnsi" w:hAnsiTheme="minorHAnsi"/>
          <w:color w:val="071D49" w:themeColor="text1"/>
          <w:sz w:val="18"/>
          <w:szCs w:val="18"/>
          <w:lang w:val="es-ES"/>
        </w:rPr>
        <w:t xml:space="preserve">Dra. </w:t>
      </w:r>
      <w:r w:rsidR="0057328E" w:rsidRPr="00696EEE">
        <w:rPr>
          <w:rFonts w:asciiTheme="minorHAnsi" w:hAnsiTheme="minorHAnsi"/>
          <w:color w:val="071D49" w:themeColor="text1"/>
          <w:sz w:val="18"/>
          <w:szCs w:val="18"/>
          <w:lang w:val="es-ES"/>
        </w:rPr>
        <w:t>María Luisa Montes, facultativo especialista en medicina interna. Hospital Universitario La Paz de</w:t>
      </w:r>
      <w:r w:rsidR="00B81F5C" w:rsidRPr="00696EEE">
        <w:rPr>
          <w:rFonts w:asciiTheme="minorHAnsi" w:hAnsiTheme="minorHAnsi"/>
          <w:color w:val="071D49" w:themeColor="text1"/>
          <w:sz w:val="18"/>
          <w:szCs w:val="18"/>
          <w:lang w:val="es-ES"/>
        </w:rPr>
        <w:t xml:space="preserve"> </w:t>
      </w:r>
      <w:r w:rsidR="0057328E" w:rsidRPr="00696EEE">
        <w:rPr>
          <w:rFonts w:asciiTheme="minorHAnsi" w:hAnsiTheme="minorHAnsi"/>
          <w:color w:val="071D49" w:themeColor="text1"/>
          <w:sz w:val="18"/>
          <w:szCs w:val="12"/>
          <w:lang w:val="es-ES"/>
        </w:rPr>
        <w:t>Madrid.</w:t>
      </w:r>
    </w:p>
    <w:p w14:paraId="443AF488" w14:textId="77777777" w:rsidR="00826FED" w:rsidRPr="00826FED" w:rsidRDefault="00826FED" w:rsidP="00826FED">
      <w:pPr>
        <w:pStyle w:val="ListParagraph"/>
        <w:numPr>
          <w:ilvl w:val="0"/>
          <w:numId w:val="11"/>
        </w:numPr>
        <w:spacing w:after="200" w:line="288" w:lineRule="auto"/>
        <w:jc w:val="both"/>
        <w:rPr>
          <w:rFonts w:asciiTheme="minorHAnsi" w:hAnsiTheme="minorHAnsi"/>
          <w:color w:val="071D49" w:themeColor="text1"/>
          <w:sz w:val="18"/>
          <w:szCs w:val="18"/>
          <w:lang w:val="en-GB"/>
        </w:rPr>
      </w:pPr>
      <w:r w:rsidRPr="00826FED">
        <w:rPr>
          <w:rFonts w:asciiTheme="minorHAnsi" w:hAnsiTheme="minorHAnsi"/>
          <w:color w:val="071D49" w:themeColor="text1"/>
          <w:sz w:val="18"/>
          <w:szCs w:val="18"/>
          <w:lang w:val="en-GB"/>
        </w:rPr>
        <w:t xml:space="preserve">Patricia </w:t>
      </w:r>
      <w:proofErr w:type="spellStart"/>
      <w:r w:rsidRPr="00826FED">
        <w:rPr>
          <w:rFonts w:asciiTheme="minorHAnsi" w:hAnsiTheme="minorHAnsi"/>
          <w:color w:val="071D49" w:themeColor="text1"/>
          <w:sz w:val="18"/>
          <w:szCs w:val="18"/>
          <w:lang w:val="en-GB"/>
        </w:rPr>
        <w:t>Arratibel</w:t>
      </w:r>
      <w:proofErr w:type="spellEnd"/>
      <w:r w:rsidRPr="00826FED">
        <w:rPr>
          <w:rFonts w:asciiTheme="minorHAnsi" w:hAnsiTheme="minorHAnsi"/>
          <w:color w:val="071D49" w:themeColor="text1"/>
          <w:sz w:val="18"/>
          <w:szCs w:val="18"/>
          <w:lang w:val="en-GB"/>
        </w:rPr>
        <w:t>, Co-</w:t>
      </w:r>
      <w:proofErr w:type="spellStart"/>
      <w:r w:rsidRPr="00826FED">
        <w:rPr>
          <w:rFonts w:asciiTheme="minorHAnsi" w:hAnsiTheme="minorHAnsi"/>
          <w:color w:val="071D49" w:themeColor="text1"/>
          <w:sz w:val="18"/>
          <w:szCs w:val="18"/>
          <w:lang w:val="en-GB"/>
        </w:rPr>
        <w:t>directora</w:t>
      </w:r>
      <w:proofErr w:type="spellEnd"/>
      <w:r w:rsidRPr="00826FED">
        <w:rPr>
          <w:rFonts w:asciiTheme="minorHAnsi" w:hAnsiTheme="minorHAnsi"/>
          <w:color w:val="071D49" w:themeColor="text1"/>
          <w:sz w:val="18"/>
          <w:szCs w:val="18"/>
          <w:lang w:val="en-GB"/>
        </w:rPr>
        <w:t xml:space="preserve"> de The Institute for Health and Strategy (Si-Health).</w:t>
      </w:r>
    </w:p>
    <w:p w14:paraId="60C5D321" w14:textId="77777777" w:rsidR="00713C4D" w:rsidRPr="00713C4D" w:rsidRDefault="00713C4D" w:rsidP="00713C4D">
      <w:pPr>
        <w:jc w:val="both"/>
        <w:rPr>
          <w:lang w:val="es-ES"/>
        </w:rPr>
      </w:pPr>
      <w:r w:rsidRPr="00713C4D">
        <w:rPr>
          <w:lang w:val="es-ES"/>
        </w:rPr>
        <w:t xml:space="preserve">Además, el Comité contará con un panel de revisores formado por profesionales de prestigio y con gran experiencia en distintos ámbitos del VIH. </w:t>
      </w:r>
    </w:p>
    <w:p w14:paraId="20417D9F" w14:textId="77777777" w:rsidR="00713C4D" w:rsidRPr="00713C4D" w:rsidRDefault="00713C4D" w:rsidP="00713C4D">
      <w:pPr>
        <w:jc w:val="both"/>
        <w:rPr>
          <w:lang w:val="es-ES"/>
        </w:rPr>
      </w:pPr>
      <w:r w:rsidRPr="00713C4D">
        <w:rPr>
          <w:lang w:val="es-ES"/>
        </w:rPr>
        <w:t>Los miembros del Comité Científico actuarán con arreglo a los principios de transparencia, objetividad e igualdad de trato, y en ningún caso participarán en la evaluación de proyectos en los que existan conflictos de interés.</w:t>
      </w:r>
    </w:p>
    <w:p w14:paraId="0B7CEE11" w14:textId="52A50544" w:rsidR="00713C4D" w:rsidRPr="00713C4D" w:rsidRDefault="00713C4D" w:rsidP="00713C4D">
      <w:pPr>
        <w:jc w:val="both"/>
        <w:rPr>
          <w:lang w:val="es-ES"/>
        </w:rPr>
      </w:pPr>
      <w:r w:rsidRPr="00713C4D">
        <w:rPr>
          <w:lang w:val="es-ES"/>
        </w:rPr>
        <w:t xml:space="preserve">El Comité Científico podrá declarar desierta la concesión de alguna/s de las becas si las solicitudes no reúnen los requisitos de la </w:t>
      </w:r>
      <w:r w:rsidR="0072210F">
        <w:rPr>
          <w:lang w:val="es-ES"/>
        </w:rPr>
        <w:t>C</w:t>
      </w:r>
      <w:r w:rsidRPr="00713C4D">
        <w:rPr>
          <w:lang w:val="es-ES"/>
        </w:rPr>
        <w:t>onvocatoria.</w:t>
      </w:r>
    </w:p>
    <w:p w14:paraId="2E3E79F8" w14:textId="08D336F1" w:rsidR="00826FED" w:rsidRPr="00826FED" w:rsidRDefault="00713C4D" w:rsidP="00713C4D">
      <w:pPr>
        <w:jc w:val="both"/>
        <w:rPr>
          <w:lang w:val="es-ES"/>
        </w:rPr>
      </w:pPr>
      <w:r w:rsidRPr="00713C4D">
        <w:rPr>
          <w:lang w:val="es-ES"/>
        </w:rPr>
        <w:t>El fallo del Comité Científico será inapelable y no admitirá recurso en contra</w:t>
      </w:r>
      <w:r w:rsidR="00826FED" w:rsidRPr="00826FED">
        <w:rPr>
          <w:lang w:val="es-ES"/>
        </w:rPr>
        <w:t>.</w:t>
      </w:r>
    </w:p>
    <w:p w14:paraId="2DD9FA95" w14:textId="0B082C04" w:rsidR="00826FED" w:rsidRPr="003A17BA" w:rsidRDefault="003A17BA" w:rsidP="00826FED">
      <w:pPr>
        <w:jc w:val="both"/>
        <w:rPr>
          <w:lang w:val="es-ES"/>
        </w:rPr>
      </w:pPr>
      <w:r w:rsidRPr="003A17BA">
        <w:rPr>
          <w:lang w:val="es-ES"/>
        </w:rPr>
        <w:t>En el caso de que los proyectos asignatarios de una beca, debido a condiciones de contexto, pudieran requerir alguna modificación que afecte al diseño original del proyecto, el IP comunicará dichas modificaciones al Comité Científico para su revisión, aceptación y validación, en su caso</w:t>
      </w:r>
      <w:r>
        <w:rPr>
          <w:lang w:val="es-ES"/>
        </w:rPr>
        <w:t>.</w:t>
      </w:r>
    </w:p>
    <w:p w14:paraId="1E6EF7A7" w14:textId="20044A1A" w:rsidR="00826FED" w:rsidRPr="00826FED" w:rsidRDefault="00826FED" w:rsidP="00826FED">
      <w:pPr>
        <w:pStyle w:val="ListParagraph"/>
        <w:numPr>
          <w:ilvl w:val="0"/>
          <w:numId w:val="15"/>
        </w:numPr>
        <w:spacing w:after="160" w:line="259" w:lineRule="auto"/>
        <w:jc w:val="both"/>
        <w:rPr>
          <w:rFonts w:asciiTheme="minorHAnsi" w:hAnsiTheme="minorHAnsi"/>
          <w:b/>
          <w:color w:val="071D49" w:themeColor="text1"/>
        </w:rPr>
      </w:pPr>
      <w:proofErr w:type="spellStart"/>
      <w:r w:rsidRPr="00425640">
        <w:rPr>
          <w:rFonts w:asciiTheme="minorHAnsi" w:hAnsiTheme="minorHAnsi"/>
          <w:b/>
          <w:color w:val="071D49"/>
        </w:rPr>
        <w:t>Criterios</w:t>
      </w:r>
      <w:proofErr w:type="spellEnd"/>
      <w:r w:rsidRPr="00826FED">
        <w:rPr>
          <w:rFonts w:asciiTheme="minorHAnsi" w:hAnsiTheme="minorHAnsi"/>
          <w:b/>
          <w:color w:val="071D49" w:themeColor="text1"/>
        </w:rPr>
        <w:t xml:space="preserve"> de </w:t>
      </w:r>
      <w:proofErr w:type="spellStart"/>
      <w:r w:rsidRPr="00826FED">
        <w:rPr>
          <w:rFonts w:asciiTheme="minorHAnsi" w:hAnsiTheme="minorHAnsi"/>
          <w:b/>
          <w:color w:val="071D49" w:themeColor="text1"/>
        </w:rPr>
        <w:t>evaluación</w:t>
      </w:r>
      <w:proofErr w:type="spellEnd"/>
    </w:p>
    <w:p w14:paraId="221F8D1F" w14:textId="77777777" w:rsidR="00826FED" w:rsidRPr="00826FED" w:rsidRDefault="00826FED" w:rsidP="00826FED">
      <w:pPr>
        <w:jc w:val="both"/>
        <w:rPr>
          <w:lang w:val="es-ES"/>
        </w:rPr>
      </w:pPr>
      <w:r w:rsidRPr="00826FED">
        <w:rPr>
          <w:lang w:val="es-ES"/>
        </w:rPr>
        <w:lastRenderedPageBreak/>
        <w:t>Las solicitudes serán valoradas conforme a los siguientes criterios:</w:t>
      </w:r>
    </w:p>
    <w:p w14:paraId="2F75B4BB" w14:textId="77777777" w:rsidR="00826FED" w:rsidRPr="00826FED" w:rsidRDefault="00826FED" w:rsidP="00826FED">
      <w:pPr>
        <w:jc w:val="both"/>
        <w:rPr>
          <w:b/>
        </w:rPr>
      </w:pPr>
      <w:proofErr w:type="spellStart"/>
      <w:r w:rsidRPr="00826FED">
        <w:rPr>
          <w:b/>
        </w:rPr>
        <w:t>Criterios</w:t>
      </w:r>
      <w:proofErr w:type="spellEnd"/>
      <w:r w:rsidRPr="00826FED">
        <w:rPr>
          <w:b/>
        </w:rPr>
        <w:t xml:space="preserve"> de </w:t>
      </w:r>
      <w:proofErr w:type="spellStart"/>
      <w:r w:rsidRPr="00826FED">
        <w:rPr>
          <w:b/>
        </w:rPr>
        <w:t>exclusión</w:t>
      </w:r>
      <w:proofErr w:type="spellEnd"/>
      <w:r w:rsidRPr="00826FED">
        <w:rPr>
          <w:b/>
        </w:rPr>
        <w:t>:</w:t>
      </w:r>
    </w:p>
    <w:p w14:paraId="51A334F0" w14:textId="5E885369" w:rsidR="00826FED" w:rsidRPr="00826FED"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Pertinencia:</w:t>
      </w:r>
      <w:r w:rsidRPr="00826FED">
        <w:rPr>
          <w:rFonts w:asciiTheme="minorHAnsi" w:hAnsiTheme="minorHAnsi"/>
          <w:color w:val="071D49" w:themeColor="text1"/>
          <w:sz w:val="18"/>
          <w:szCs w:val="18"/>
          <w:lang w:val="es-ES"/>
        </w:rPr>
        <w:t xml:space="preserve"> </w:t>
      </w:r>
      <w:r w:rsidR="00352CF6">
        <w:rPr>
          <w:rFonts w:asciiTheme="minorHAnsi" w:hAnsiTheme="minorHAnsi"/>
          <w:color w:val="071D49" w:themeColor="text1"/>
          <w:sz w:val="18"/>
          <w:szCs w:val="18"/>
          <w:lang w:val="es-ES"/>
        </w:rPr>
        <w:t>e</w:t>
      </w:r>
      <w:r w:rsidRPr="00826FED">
        <w:rPr>
          <w:rFonts w:asciiTheme="minorHAnsi" w:hAnsiTheme="minorHAnsi"/>
          <w:color w:val="071D49" w:themeColor="text1"/>
          <w:sz w:val="18"/>
          <w:szCs w:val="18"/>
          <w:lang w:val="es-ES"/>
        </w:rPr>
        <w:t xml:space="preserve">l proyecto deberá cumplir con los requisitos y finalidad de la presente </w:t>
      </w:r>
      <w:r w:rsidR="0072210F">
        <w:rPr>
          <w:rFonts w:asciiTheme="minorHAnsi" w:hAnsiTheme="minorHAnsi"/>
          <w:color w:val="071D49" w:themeColor="text1"/>
          <w:sz w:val="18"/>
          <w:szCs w:val="18"/>
          <w:lang w:val="es-ES"/>
        </w:rPr>
        <w:t>C</w:t>
      </w:r>
      <w:r w:rsidRPr="00826FED">
        <w:rPr>
          <w:rFonts w:asciiTheme="minorHAnsi" w:hAnsiTheme="minorHAnsi"/>
          <w:color w:val="071D49" w:themeColor="text1"/>
          <w:sz w:val="18"/>
          <w:szCs w:val="18"/>
          <w:lang w:val="es-ES"/>
        </w:rPr>
        <w:t xml:space="preserve">onvocatoria. En el caso de no cumplir con estos requisitos, la solicitud será descartada. </w:t>
      </w:r>
    </w:p>
    <w:p w14:paraId="7D32AE34" w14:textId="77777777" w:rsidR="00826FED" w:rsidRPr="00826FED" w:rsidRDefault="00826FED" w:rsidP="00826FED">
      <w:pPr>
        <w:jc w:val="both"/>
        <w:rPr>
          <w:b/>
          <w:szCs w:val="18"/>
        </w:rPr>
      </w:pPr>
      <w:proofErr w:type="spellStart"/>
      <w:r w:rsidRPr="00826FED">
        <w:rPr>
          <w:b/>
          <w:szCs w:val="18"/>
        </w:rPr>
        <w:t>Criterios</w:t>
      </w:r>
      <w:proofErr w:type="spellEnd"/>
      <w:r w:rsidRPr="00826FED">
        <w:rPr>
          <w:b/>
          <w:szCs w:val="18"/>
        </w:rPr>
        <w:t xml:space="preserve"> a </w:t>
      </w:r>
      <w:proofErr w:type="spellStart"/>
      <w:r w:rsidRPr="00826FED">
        <w:rPr>
          <w:b/>
          <w:szCs w:val="18"/>
        </w:rPr>
        <w:t>considerar</w:t>
      </w:r>
      <w:proofErr w:type="spellEnd"/>
      <w:r w:rsidRPr="00826FED">
        <w:rPr>
          <w:b/>
          <w:szCs w:val="18"/>
        </w:rPr>
        <w:t xml:space="preserve">: </w:t>
      </w:r>
    </w:p>
    <w:p w14:paraId="1C520AFC" w14:textId="7E3C5EA1" w:rsidR="00826FED" w:rsidRPr="00826FED"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Relevancia del proyecto:</w:t>
      </w:r>
      <w:r w:rsidRPr="00826FED">
        <w:rPr>
          <w:rFonts w:asciiTheme="minorHAnsi" w:hAnsiTheme="minorHAnsi"/>
          <w:color w:val="071D49" w:themeColor="text1"/>
          <w:sz w:val="18"/>
          <w:szCs w:val="18"/>
          <w:lang w:val="es-ES"/>
        </w:rPr>
        <w:t xml:space="preserve"> </w:t>
      </w:r>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e valorará la relevancia del proyecto en base a la calidad y multidisciplinariedad de la composición del equipo de trabajo.</w:t>
      </w:r>
    </w:p>
    <w:p w14:paraId="127C3666" w14:textId="4A4410A7" w:rsidR="00826FED" w:rsidRPr="00E5649E"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Impacto del proyecto:</w:t>
      </w:r>
      <w:r w:rsidRPr="00826FED">
        <w:rPr>
          <w:rFonts w:asciiTheme="minorHAnsi" w:hAnsiTheme="minorHAnsi"/>
          <w:color w:val="071D49" w:themeColor="text1"/>
          <w:sz w:val="18"/>
          <w:szCs w:val="18"/>
          <w:lang w:val="es-ES"/>
        </w:rPr>
        <w:t xml:space="preserve"> </w:t>
      </w:r>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 xml:space="preserve">e valorará el impacto del proyecto en el “Modelo de atención </w:t>
      </w:r>
      <w:r w:rsidR="00E5649E">
        <w:rPr>
          <w:rFonts w:asciiTheme="minorHAnsi" w:hAnsiTheme="minorHAnsi"/>
          <w:color w:val="071D49" w:themeColor="text1"/>
          <w:sz w:val="18"/>
          <w:szCs w:val="18"/>
          <w:lang w:val="es-ES"/>
        </w:rPr>
        <w:t xml:space="preserve">al paciente con infección por el </w:t>
      </w:r>
      <w:r w:rsidRPr="00826FED">
        <w:rPr>
          <w:rFonts w:asciiTheme="minorHAnsi" w:hAnsiTheme="minorHAnsi"/>
          <w:color w:val="071D49" w:themeColor="text1"/>
          <w:sz w:val="18"/>
          <w:szCs w:val="18"/>
          <w:lang w:val="es-ES"/>
        </w:rPr>
        <w:t xml:space="preserve">VIH” y en los resultados finales esperados, ya sean resultados en salud, en calidad de vida de los pacientes, en satisfacción de los profesionales, en eficiencia para el sistema o en cualquier otro impacto positivo asociado al proyecto. </w:t>
      </w:r>
      <w:r w:rsidRPr="00E5649E">
        <w:rPr>
          <w:rFonts w:asciiTheme="minorHAnsi" w:hAnsiTheme="minorHAnsi"/>
          <w:color w:val="071D49" w:themeColor="text1"/>
          <w:sz w:val="18"/>
          <w:szCs w:val="18"/>
          <w:lang w:val="es-ES"/>
        </w:rPr>
        <w:t>El impacto también se valorará en términos de cobertura.</w:t>
      </w:r>
    </w:p>
    <w:p w14:paraId="423F9A28" w14:textId="16467E32" w:rsidR="00826FED" w:rsidRPr="00826FED" w:rsidRDefault="00826FED" w:rsidP="00826FED">
      <w:pPr>
        <w:pStyle w:val="ListParagraph"/>
        <w:numPr>
          <w:ilvl w:val="0"/>
          <w:numId w:val="7"/>
        </w:numPr>
        <w:spacing w:after="200" w:line="288" w:lineRule="auto"/>
        <w:jc w:val="both"/>
        <w:rPr>
          <w:rFonts w:asciiTheme="minorHAnsi" w:hAnsiTheme="minorHAnsi"/>
          <w:b/>
          <w:color w:val="071D49" w:themeColor="text1"/>
          <w:sz w:val="18"/>
          <w:szCs w:val="18"/>
          <w:lang w:val="es-ES"/>
        </w:rPr>
      </w:pPr>
      <w:r w:rsidRPr="00826FED">
        <w:rPr>
          <w:rFonts w:asciiTheme="minorHAnsi" w:hAnsiTheme="minorHAnsi"/>
          <w:b/>
          <w:color w:val="071D49" w:themeColor="text1"/>
          <w:sz w:val="18"/>
          <w:szCs w:val="18"/>
          <w:lang w:val="es-ES"/>
        </w:rPr>
        <w:t>Calidad técnica del proyecto:</w:t>
      </w:r>
      <w:r w:rsidRPr="00826FED">
        <w:rPr>
          <w:rFonts w:asciiTheme="minorHAnsi" w:hAnsiTheme="minorHAnsi"/>
          <w:color w:val="071D49" w:themeColor="text1"/>
          <w:sz w:val="18"/>
          <w:szCs w:val="18"/>
          <w:lang w:val="es-ES"/>
        </w:rPr>
        <w:t xml:space="preserve"> </w:t>
      </w:r>
      <w:bookmarkStart w:id="4" w:name="_Hlk1641050"/>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e valorará la calidad metodológica del proyecto</w:t>
      </w:r>
      <w:bookmarkEnd w:id="4"/>
      <w:r w:rsidRPr="00826FED">
        <w:rPr>
          <w:rFonts w:asciiTheme="minorHAnsi" w:hAnsiTheme="minorHAnsi"/>
          <w:color w:val="071D49" w:themeColor="text1"/>
          <w:sz w:val="18"/>
          <w:szCs w:val="18"/>
          <w:lang w:val="es-ES"/>
        </w:rPr>
        <w:t xml:space="preserve">, el sistema de evaluación y si cuenta con un plan de trabajo organizado que asegure la consecución de los objetivos. </w:t>
      </w:r>
    </w:p>
    <w:p w14:paraId="1D09C5BA" w14:textId="7B7C1C1C" w:rsidR="00826FED" w:rsidRPr="00826FED"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Factibilidad</w:t>
      </w:r>
      <w:r w:rsidRPr="00826FED">
        <w:rPr>
          <w:rFonts w:asciiTheme="minorHAnsi" w:hAnsiTheme="minorHAnsi"/>
          <w:color w:val="071D49" w:themeColor="text1"/>
          <w:sz w:val="18"/>
          <w:szCs w:val="18"/>
          <w:lang w:val="es-ES"/>
        </w:rPr>
        <w:t xml:space="preserve">: </w:t>
      </w:r>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 xml:space="preserve">e valorará la adecuación entre el plan de trabajo y los recursos disponibles con el objetivo de conocer la factibilidad y viabilidad de la implementación del proyecto. </w:t>
      </w:r>
    </w:p>
    <w:p w14:paraId="1AF33834" w14:textId="744F385D" w:rsidR="00826FED" w:rsidRPr="00826FED"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 xml:space="preserve">Replicabilidad: </w:t>
      </w:r>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e valorará si el proyecto puede extenderse fácilmente a otras áreas, servicios, hospitales y/</w:t>
      </w:r>
      <w:proofErr w:type="spellStart"/>
      <w:r w:rsidRPr="00826FED">
        <w:rPr>
          <w:rFonts w:asciiTheme="minorHAnsi" w:hAnsiTheme="minorHAnsi"/>
          <w:color w:val="071D49" w:themeColor="text1"/>
          <w:sz w:val="18"/>
          <w:szCs w:val="18"/>
          <w:lang w:val="es-ES"/>
        </w:rPr>
        <w:t>o</w:t>
      </w:r>
      <w:proofErr w:type="spellEnd"/>
      <w:r w:rsidRPr="00826FED">
        <w:rPr>
          <w:rFonts w:asciiTheme="minorHAnsi" w:hAnsiTheme="minorHAnsi"/>
          <w:color w:val="071D49" w:themeColor="text1"/>
          <w:sz w:val="18"/>
          <w:szCs w:val="18"/>
          <w:lang w:val="es-ES"/>
        </w:rPr>
        <w:t xml:space="preserve"> organizaciones. </w:t>
      </w:r>
    </w:p>
    <w:p w14:paraId="0149FAE3" w14:textId="094B6EBC" w:rsidR="00826FED" w:rsidRDefault="00826FED" w:rsidP="00826FED">
      <w:pPr>
        <w:pStyle w:val="ListParagraph"/>
        <w:numPr>
          <w:ilvl w:val="0"/>
          <w:numId w:val="7"/>
        </w:numPr>
        <w:spacing w:after="200" w:line="288" w:lineRule="auto"/>
        <w:jc w:val="both"/>
        <w:rPr>
          <w:rFonts w:asciiTheme="minorHAnsi" w:hAnsiTheme="minorHAnsi"/>
          <w:color w:val="071D49" w:themeColor="text1"/>
          <w:sz w:val="18"/>
          <w:szCs w:val="18"/>
          <w:lang w:val="es-ES"/>
        </w:rPr>
      </w:pPr>
      <w:r w:rsidRPr="00826FED">
        <w:rPr>
          <w:rFonts w:asciiTheme="minorHAnsi" w:hAnsiTheme="minorHAnsi"/>
          <w:b/>
          <w:color w:val="071D49" w:themeColor="text1"/>
          <w:sz w:val="18"/>
          <w:szCs w:val="18"/>
          <w:lang w:val="es-ES"/>
        </w:rPr>
        <w:t>Sostenibilidad</w:t>
      </w:r>
      <w:r w:rsidRPr="00826FED">
        <w:rPr>
          <w:rFonts w:asciiTheme="minorHAnsi" w:hAnsiTheme="minorHAnsi"/>
          <w:color w:val="071D49" w:themeColor="text1"/>
          <w:sz w:val="18"/>
          <w:szCs w:val="18"/>
          <w:lang w:val="es-ES"/>
        </w:rPr>
        <w:t xml:space="preserve">: </w:t>
      </w:r>
      <w:r w:rsidR="00352CF6">
        <w:rPr>
          <w:rFonts w:asciiTheme="minorHAnsi" w:hAnsiTheme="minorHAnsi"/>
          <w:color w:val="071D49" w:themeColor="text1"/>
          <w:sz w:val="18"/>
          <w:szCs w:val="18"/>
          <w:lang w:val="es-ES"/>
        </w:rPr>
        <w:t>s</w:t>
      </w:r>
      <w:r w:rsidRPr="00826FED">
        <w:rPr>
          <w:rFonts w:asciiTheme="minorHAnsi" w:hAnsiTheme="minorHAnsi"/>
          <w:color w:val="071D49" w:themeColor="text1"/>
          <w:sz w:val="18"/>
          <w:szCs w:val="18"/>
          <w:lang w:val="es-ES"/>
        </w:rPr>
        <w:t>e valorará la sostenibilidad y perdurabilidad del proyecto en el tiempo más allá de la beca.</w:t>
      </w:r>
    </w:p>
    <w:p w14:paraId="03ADF152" w14:textId="77777777" w:rsidR="003E34B8" w:rsidRPr="003E34B8" w:rsidRDefault="003E34B8" w:rsidP="003E34B8">
      <w:pPr>
        <w:pStyle w:val="ListParagraph"/>
        <w:spacing w:after="200" w:line="288" w:lineRule="auto"/>
        <w:jc w:val="both"/>
        <w:rPr>
          <w:rFonts w:asciiTheme="minorHAnsi" w:hAnsiTheme="minorHAnsi"/>
          <w:color w:val="071D49" w:themeColor="text1"/>
          <w:sz w:val="18"/>
          <w:szCs w:val="18"/>
          <w:lang w:val="es-ES"/>
        </w:rPr>
      </w:pPr>
    </w:p>
    <w:p w14:paraId="0E2A9688" w14:textId="061EF54B" w:rsidR="00826FED" w:rsidRPr="00826FED" w:rsidRDefault="00826FED" w:rsidP="00826FED">
      <w:pPr>
        <w:pStyle w:val="ListParagraph"/>
        <w:numPr>
          <w:ilvl w:val="0"/>
          <w:numId w:val="15"/>
        </w:numPr>
        <w:spacing w:after="160" w:line="259" w:lineRule="auto"/>
        <w:jc w:val="both"/>
        <w:rPr>
          <w:rFonts w:asciiTheme="minorHAnsi" w:hAnsiTheme="minorHAnsi"/>
          <w:b/>
          <w:color w:val="071D49" w:themeColor="text1"/>
        </w:rPr>
      </w:pPr>
      <w:proofErr w:type="spellStart"/>
      <w:r w:rsidRPr="00826FED">
        <w:rPr>
          <w:rFonts w:asciiTheme="minorHAnsi" w:hAnsiTheme="minorHAnsi"/>
          <w:b/>
          <w:color w:val="071D49" w:themeColor="text1"/>
        </w:rPr>
        <w:t>Proceso</w:t>
      </w:r>
      <w:proofErr w:type="spellEnd"/>
      <w:r w:rsidRPr="00826FED">
        <w:rPr>
          <w:rFonts w:asciiTheme="minorHAnsi" w:hAnsiTheme="minorHAnsi"/>
          <w:b/>
          <w:color w:val="071D49" w:themeColor="text1"/>
        </w:rPr>
        <w:t xml:space="preserve"> de </w:t>
      </w:r>
      <w:proofErr w:type="spellStart"/>
      <w:r w:rsidRPr="00A01A47">
        <w:rPr>
          <w:rFonts w:asciiTheme="minorHAnsi" w:hAnsiTheme="minorHAnsi"/>
          <w:b/>
          <w:color w:val="071D49"/>
        </w:rPr>
        <w:t>selección</w:t>
      </w:r>
      <w:proofErr w:type="spellEnd"/>
    </w:p>
    <w:p w14:paraId="12DD9E80" w14:textId="77777777" w:rsidR="00826FED" w:rsidRPr="00826FED" w:rsidRDefault="00826FED" w:rsidP="00826FED">
      <w:pPr>
        <w:jc w:val="both"/>
        <w:rPr>
          <w:lang w:val="es-ES"/>
        </w:rPr>
      </w:pPr>
      <w:r w:rsidRPr="00826FED">
        <w:rPr>
          <w:lang w:val="es-ES"/>
        </w:rPr>
        <w:t>La evaluación de los proyectos recibidos se llevará a cabo según el siguiente procedimiento:</w:t>
      </w:r>
    </w:p>
    <w:p w14:paraId="72468E23" w14:textId="6272B9B8" w:rsidR="007252B7" w:rsidRPr="007252B7" w:rsidRDefault="007252B7" w:rsidP="007252B7">
      <w:pPr>
        <w:pStyle w:val="ListParagraph"/>
        <w:numPr>
          <w:ilvl w:val="0"/>
          <w:numId w:val="6"/>
        </w:numPr>
        <w:spacing w:after="160" w:line="259" w:lineRule="auto"/>
        <w:jc w:val="both"/>
        <w:rPr>
          <w:rFonts w:asciiTheme="minorHAnsi" w:hAnsiTheme="minorHAnsi"/>
          <w:color w:val="071D49" w:themeColor="text1"/>
          <w:sz w:val="18"/>
          <w:szCs w:val="18"/>
          <w:lang w:val="es-ES"/>
        </w:rPr>
      </w:pPr>
      <w:r w:rsidRPr="007252B7">
        <w:rPr>
          <w:rFonts w:asciiTheme="minorHAnsi" w:hAnsiTheme="minorHAnsi"/>
          <w:color w:val="071D49" w:themeColor="text1"/>
          <w:sz w:val="18"/>
          <w:szCs w:val="18"/>
          <w:lang w:val="es-ES"/>
        </w:rPr>
        <w:t xml:space="preserve">Concluido el periodo de presentación de solicitudes de la Convocatoria, estas serán valoradas por el Comité Científico que asegurará que las solicitudes presentadas reúnen los requisitos descritos en las bases de la presente </w:t>
      </w:r>
      <w:r w:rsidR="0072210F">
        <w:rPr>
          <w:rFonts w:asciiTheme="minorHAnsi" w:hAnsiTheme="minorHAnsi"/>
          <w:color w:val="071D49" w:themeColor="text1"/>
          <w:sz w:val="18"/>
          <w:szCs w:val="18"/>
          <w:lang w:val="es-ES"/>
        </w:rPr>
        <w:t>C</w:t>
      </w:r>
      <w:r w:rsidRPr="007252B7">
        <w:rPr>
          <w:rFonts w:asciiTheme="minorHAnsi" w:hAnsiTheme="minorHAnsi"/>
          <w:color w:val="071D49" w:themeColor="text1"/>
          <w:sz w:val="18"/>
          <w:szCs w:val="18"/>
          <w:lang w:val="es-ES"/>
        </w:rPr>
        <w:t xml:space="preserve">onvocatoria. </w:t>
      </w:r>
    </w:p>
    <w:p w14:paraId="17C7DA77" w14:textId="77777777" w:rsidR="007252B7" w:rsidRPr="007252B7" w:rsidRDefault="007252B7" w:rsidP="007252B7">
      <w:pPr>
        <w:pStyle w:val="ListParagraph"/>
        <w:numPr>
          <w:ilvl w:val="0"/>
          <w:numId w:val="6"/>
        </w:numPr>
        <w:spacing w:after="160" w:line="259" w:lineRule="auto"/>
        <w:jc w:val="both"/>
        <w:rPr>
          <w:rFonts w:asciiTheme="minorHAnsi" w:hAnsiTheme="minorHAnsi"/>
          <w:color w:val="071D49" w:themeColor="text1"/>
          <w:sz w:val="18"/>
          <w:szCs w:val="18"/>
          <w:lang w:val="es-ES"/>
        </w:rPr>
      </w:pPr>
      <w:r w:rsidRPr="007252B7">
        <w:rPr>
          <w:rFonts w:asciiTheme="minorHAnsi" w:hAnsiTheme="minorHAnsi"/>
          <w:color w:val="071D49" w:themeColor="text1"/>
          <w:sz w:val="18"/>
          <w:szCs w:val="18"/>
          <w:lang w:val="es-ES"/>
        </w:rPr>
        <w:t>Tras descartar aquellas solicitudes que no cumplan con los requisitos de las bases, las admitidas a trámite se evaluarán mediante un proceso de revisión por pares. Esta asignación se realizará una vez revisados los posibles conflictos de intereses, y será enmascarada para garantizar la independencia de la evaluación.</w:t>
      </w:r>
    </w:p>
    <w:p w14:paraId="6914C38C" w14:textId="77777777" w:rsidR="007252B7" w:rsidRPr="007252B7" w:rsidRDefault="007252B7" w:rsidP="007252B7">
      <w:pPr>
        <w:pStyle w:val="ListParagraph"/>
        <w:numPr>
          <w:ilvl w:val="0"/>
          <w:numId w:val="6"/>
        </w:numPr>
        <w:spacing w:after="160" w:line="259" w:lineRule="auto"/>
        <w:jc w:val="both"/>
        <w:rPr>
          <w:rFonts w:asciiTheme="minorHAnsi" w:hAnsiTheme="minorHAnsi"/>
          <w:color w:val="071D49" w:themeColor="text1"/>
          <w:sz w:val="18"/>
          <w:szCs w:val="18"/>
          <w:lang w:val="es-ES"/>
        </w:rPr>
      </w:pPr>
      <w:r w:rsidRPr="007252B7">
        <w:rPr>
          <w:rFonts w:asciiTheme="minorHAnsi" w:hAnsiTheme="minorHAnsi"/>
          <w:color w:val="071D49" w:themeColor="text1"/>
          <w:sz w:val="18"/>
          <w:szCs w:val="18"/>
          <w:lang w:val="es-ES"/>
        </w:rPr>
        <w:t xml:space="preserve">Cada pareja de evaluadores procederá a revisar las solicitudes presentadas con arreglo a los criterios descritos en estas bases. </w:t>
      </w:r>
    </w:p>
    <w:p w14:paraId="5C9EB42A" w14:textId="01918534" w:rsidR="007252B7" w:rsidRPr="007252B7" w:rsidRDefault="007252B7" w:rsidP="007252B7">
      <w:pPr>
        <w:pStyle w:val="ListParagraph"/>
        <w:numPr>
          <w:ilvl w:val="0"/>
          <w:numId w:val="6"/>
        </w:numPr>
        <w:spacing w:after="160" w:line="259" w:lineRule="auto"/>
        <w:jc w:val="both"/>
        <w:rPr>
          <w:rFonts w:asciiTheme="minorHAnsi" w:hAnsiTheme="minorHAnsi"/>
          <w:color w:val="071D49" w:themeColor="text1"/>
          <w:sz w:val="18"/>
          <w:szCs w:val="18"/>
          <w:lang w:val="es-ES"/>
        </w:rPr>
      </w:pPr>
      <w:r w:rsidRPr="007252B7">
        <w:rPr>
          <w:rFonts w:asciiTheme="minorHAnsi" w:hAnsiTheme="minorHAnsi"/>
          <w:color w:val="071D49" w:themeColor="text1"/>
          <w:sz w:val="18"/>
          <w:szCs w:val="18"/>
          <w:lang w:val="es-ES"/>
        </w:rPr>
        <w:t xml:space="preserve">Una vez finalizada la revisión por pares, el Comité Científico se reunirá para la resolución de la </w:t>
      </w:r>
      <w:r w:rsidR="0072210F">
        <w:rPr>
          <w:rFonts w:asciiTheme="minorHAnsi" w:hAnsiTheme="minorHAnsi"/>
          <w:color w:val="071D49" w:themeColor="text1"/>
          <w:sz w:val="18"/>
          <w:szCs w:val="18"/>
          <w:lang w:val="es-ES"/>
        </w:rPr>
        <w:t>C</w:t>
      </w:r>
      <w:r w:rsidRPr="007252B7">
        <w:rPr>
          <w:rFonts w:asciiTheme="minorHAnsi" w:hAnsiTheme="minorHAnsi"/>
          <w:color w:val="071D49" w:themeColor="text1"/>
          <w:sz w:val="18"/>
          <w:szCs w:val="18"/>
          <w:lang w:val="es-ES"/>
        </w:rPr>
        <w:t>onvocatoria con arreglo a los criterios descritos en estas bases y resolverá las discrepancias para determinar los proyectos finalistas.</w:t>
      </w:r>
    </w:p>
    <w:p w14:paraId="4F729516" w14:textId="77777777" w:rsidR="007252B7" w:rsidRPr="007252B7" w:rsidRDefault="007252B7" w:rsidP="007252B7">
      <w:pPr>
        <w:pStyle w:val="ListParagraph"/>
        <w:numPr>
          <w:ilvl w:val="0"/>
          <w:numId w:val="6"/>
        </w:numPr>
        <w:spacing w:after="160" w:line="259" w:lineRule="auto"/>
        <w:jc w:val="both"/>
        <w:rPr>
          <w:rFonts w:asciiTheme="minorHAnsi" w:hAnsiTheme="minorHAnsi"/>
          <w:color w:val="071D49" w:themeColor="text1"/>
          <w:sz w:val="18"/>
          <w:szCs w:val="18"/>
          <w:lang w:val="es-ES"/>
        </w:rPr>
      </w:pPr>
      <w:r w:rsidRPr="007252B7">
        <w:rPr>
          <w:rFonts w:asciiTheme="minorHAnsi" w:hAnsiTheme="minorHAnsi"/>
          <w:color w:val="071D49" w:themeColor="text1"/>
          <w:sz w:val="18"/>
          <w:szCs w:val="18"/>
          <w:lang w:val="es-ES"/>
        </w:rPr>
        <w:t>En caso de que se produzca un empate en la valoración obtenida por las solicitudes finalistas, el Comité Científico deberá resolver la situación por unanimidad. En caso de no ser así, el fallo del Coordinador del Comité Científico será decisivo e irrevocable.</w:t>
      </w:r>
    </w:p>
    <w:p w14:paraId="45DBBAE3" w14:textId="7BFFBECB" w:rsidR="00826FED" w:rsidRPr="00F927E9" w:rsidRDefault="007252B7" w:rsidP="00714CA0">
      <w:pPr>
        <w:pStyle w:val="ListParagraph"/>
        <w:numPr>
          <w:ilvl w:val="0"/>
          <w:numId w:val="6"/>
        </w:numPr>
        <w:spacing w:after="160" w:line="259" w:lineRule="auto"/>
        <w:jc w:val="both"/>
        <w:rPr>
          <w:lang w:val="es-ES"/>
        </w:rPr>
      </w:pPr>
      <w:r w:rsidRPr="00F927E9">
        <w:rPr>
          <w:rFonts w:asciiTheme="minorHAnsi" w:hAnsiTheme="minorHAnsi"/>
          <w:color w:val="071D49" w:themeColor="text1"/>
          <w:sz w:val="18"/>
          <w:szCs w:val="18"/>
          <w:lang w:val="es-ES"/>
        </w:rPr>
        <w:t>Una vez terminado el proceso de evaluación, se comunicará el resultado a las solicitudes seleccionadas a través del medio de contacto facilitado en el formulario de solicitud</w:t>
      </w:r>
      <w:r w:rsidR="00714CA0" w:rsidRPr="00F927E9">
        <w:rPr>
          <w:rFonts w:asciiTheme="minorHAnsi" w:hAnsiTheme="minorHAnsi"/>
          <w:color w:val="071D49" w:themeColor="text1"/>
          <w:sz w:val="18"/>
          <w:szCs w:val="18"/>
          <w:lang w:val="es-ES"/>
        </w:rPr>
        <w:t>.</w:t>
      </w:r>
    </w:p>
    <w:p w14:paraId="199D7447" w14:textId="2B0EB71D" w:rsidR="00826FED" w:rsidRPr="008B7FCA" w:rsidRDefault="00826FED" w:rsidP="00826FED">
      <w:pPr>
        <w:pStyle w:val="Heading12lines"/>
        <w:rPr>
          <w:lang w:val="es-ES"/>
        </w:rPr>
      </w:pPr>
      <w:r w:rsidRPr="008B7FCA">
        <w:rPr>
          <w:lang w:val="es-ES"/>
        </w:rPr>
        <w:t>8. Difusión</w:t>
      </w:r>
    </w:p>
    <w:p w14:paraId="2F754FD2" w14:textId="77777777" w:rsidR="00826FED" w:rsidRDefault="00826FED" w:rsidP="00826FED">
      <w:pPr>
        <w:jc w:val="both"/>
        <w:rPr>
          <w:lang w:val="es-ES"/>
        </w:rPr>
      </w:pPr>
    </w:p>
    <w:p w14:paraId="76BEA239" w14:textId="60FE02F8" w:rsidR="003A017F" w:rsidRPr="003A017F" w:rsidRDefault="003A017F" w:rsidP="003A017F">
      <w:pPr>
        <w:jc w:val="both"/>
        <w:rPr>
          <w:lang w:val="es-ES"/>
        </w:rPr>
      </w:pPr>
      <w:r w:rsidRPr="003A017F">
        <w:rPr>
          <w:lang w:val="es-ES"/>
        </w:rPr>
        <w:t>La presentación de una solicitud en el marco de la presente Convocatoria, implica la cesión por parte de los solicitantes a ViiV Healthcare de los derechos de reproducción, distribución, transformación, traducción y comunicación pública de los proyectos y el contenido de los mismos en el “</w:t>
      </w:r>
      <w:r w:rsidR="00DF15F6">
        <w:rPr>
          <w:lang w:val="es-ES"/>
        </w:rPr>
        <w:t>A</w:t>
      </w:r>
      <w:r w:rsidRPr="003A017F">
        <w:rPr>
          <w:lang w:val="es-ES"/>
        </w:rPr>
        <w:t xml:space="preserve">cto de entrega de las becas”, así como en actividades de promoción, comunicación y difusión de la </w:t>
      </w:r>
      <w:r w:rsidR="0072210F">
        <w:rPr>
          <w:lang w:val="es-ES"/>
        </w:rPr>
        <w:t>C</w:t>
      </w:r>
      <w:r w:rsidRPr="003A017F">
        <w:rPr>
          <w:lang w:val="es-ES"/>
        </w:rPr>
        <w:t>onvocatoria (incluidos de forma enunciativa y no limitativa, papel, audio, audiovisual, electrónico o inclusión en los sitios web y/o redes sociales patrocinadas por ViiV Healthcare, sin limitación geográfica ni temporal).</w:t>
      </w:r>
    </w:p>
    <w:p w14:paraId="0A6249A4" w14:textId="77777777" w:rsidR="003A017F" w:rsidRPr="003A017F" w:rsidRDefault="003A017F" w:rsidP="003A017F">
      <w:pPr>
        <w:jc w:val="both"/>
        <w:rPr>
          <w:lang w:val="es-ES"/>
        </w:rPr>
      </w:pPr>
      <w:r w:rsidRPr="003A017F">
        <w:rPr>
          <w:lang w:val="es-ES"/>
        </w:rPr>
        <w:lastRenderedPageBreak/>
        <w:t xml:space="preserve">Adicionalmente, los solicitantes autorizan a ViiV Healthcare la grabación y difusión de los actos públicos que se realicen el marco de la Convocatoria, ya sea por audio o video, y cede y transfiere, expresa e irrevocablemente, de forma gratuita y en exclusiva a ViiV Healthcare, sin límite temporal ni territorial, más que los establecidos en las leyes y tratados internacionales, todos los derechos de explotación resultantes de su participación en dichos actos, para que puedan ser utilizados, mediante cualquier forma, modalidad o canal, en el marco de la actividad de ViiV Healthcare, sin necesidad de ulterior ratificación o autorización y con respeto al marco jurídico en vigor.  </w:t>
      </w:r>
    </w:p>
    <w:p w14:paraId="77AFBF76" w14:textId="77777777" w:rsidR="003A017F" w:rsidRPr="003A017F" w:rsidRDefault="003A017F" w:rsidP="003A017F">
      <w:pPr>
        <w:jc w:val="both"/>
        <w:rPr>
          <w:lang w:val="es-ES"/>
        </w:rPr>
      </w:pPr>
      <w:r w:rsidRPr="003A017F">
        <w:rPr>
          <w:lang w:val="es-ES"/>
        </w:rPr>
        <w:t xml:space="preserve">Cualquier otra acción de comunicación relacionada con la Convocatoria necesitará ser previa y expresamente autorizada por ViiV Healthcare, debiendo respetar, en todo caso, la reputación de ViiV Healthcare y comprometiéndose los solicitantes a retirar toda comunicación, a solicitud de ViiV Healthcare, que lesione su integridad, derechos o intereses legítimos, asumiendo las responsabilidades legales previstas en la Base siguiente.  </w:t>
      </w:r>
    </w:p>
    <w:p w14:paraId="3B551DDE" w14:textId="20477B31" w:rsidR="00826FED" w:rsidRPr="00826FED" w:rsidRDefault="003A017F" w:rsidP="003A017F">
      <w:pPr>
        <w:jc w:val="both"/>
        <w:rPr>
          <w:lang w:val="es-ES"/>
        </w:rPr>
      </w:pPr>
      <w:r w:rsidRPr="003A017F">
        <w:rPr>
          <w:lang w:val="es-ES"/>
        </w:rPr>
        <w:t xml:space="preserve">Asimismo, los proyectos </w:t>
      </w:r>
      <w:r w:rsidR="00DF15F6">
        <w:rPr>
          <w:lang w:val="es-ES"/>
        </w:rPr>
        <w:t>financiados</w:t>
      </w:r>
      <w:r w:rsidRPr="003A017F">
        <w:rPr>
          <w:lang w:val="es-ES"/>
        </w:rPr>
        <w:t xml:space="preserve"> deberán incluir una referencia expresa a la participación de ViiV Healthcare en cualquier publicación o medio por el que se divulgue el contenido del proyecto. En concreto, debería incluirse el siguiente texto: “Con la colaboración del Programa de Becas ViiV Healthcare”.</w:t>
      </w:r>
      <w:r w:rsidR="00826FED" w:rsidRPr="00826FED">
        <w:rPr>
          <w:lang w:val="es-ES"/>
        </w:rPr>
        <w:t xml:space="preserve"> </w:t>
      </w:r>
    </w:p>
    <w:p w14:paraId="4B67961B" w14:textId="77777777" w:rsidR="00826FED" w:rsidRPr="00826FED" w:rsidRDefault="00826FED" w:rsidP="00826FED">
      <w:pPr>
        <w:jc w:val="both"/>
        <w:rPr>
          <w:color w:val="AA0034" w:themeColor="accent1" w:themeShade="BF"/>
          <w:lang w:val="es-ES"/>
        </w:rPr>
      </w:pPr>
    </w:p>
    <w:p w14:paraId="5FF65615" w14:textId="3F6DF32E" w:rsidR="00826FED" w:rsidRPr="008B7FCA" w:rsidRDefault="00826FED" w:rsidP="00826FED">
      <w:pPr>
        <w:pStyle w:val="Heading12lines"/>
        <w:rPr>
          <w:lang w:val="es-ES"/>
        </w:rPr>
      </w:pPr>
      <w:r w:rsidRPr="008B7FCA">
        <w:rPr>
          <w:lang w:val="es-ES"/>
        </w:rPr>
        <w:t xml:space="preserve">9. Responsabilidad </w:t>
      </w:r>
    </w:p>
    <w:p w14:paraId="2622E50F" w14:textId="77777777" w:rsidR="00826FED" w:rsidRDefault="00826FED" w:rsidP="00826FED">
      <w:pPr>
        <w:jc w:val="both"/>
        <w:rPr>
          <w:lang w:val="es-ES"/>
        </w:rPr>
      </w:pPr>
    </w:p>
    <w:p w14:paraId="6C6305AF" w14:textId="77777777" w:rsidR="007252B7" w:rsidRPr="007252B7" w:rsidRDefault="007252B7" w:rsidP="007252B7">
      <w:pPr>
        <w:jc w:val="both"/>
        <w:rPr>
          <w:lang w:val="es-ES"/>
        </w:rPr>
      </w:pPr>
      <w:r w:rsidRPr="007252B7">
        <w:rPr>
          <w:lang w:val="es-ES"/>
        </w:rPr>
        <w:t>La inscripción a la presente Convocatoria de becas supone, por parte de los participantes, la aceptación de las presentes bases en su totalidad.</w:t>
      </w:r>
    </w:p>
    <w:p w14:paraId="2DDDED68" w14:textId="77777777" w:rsidR="007252B7" w:rsidRPr="007252B7" w:rsidRDefault="007252B7" w:rsidP="007252B7">
      <w:pPr>
        <w:jc w:val="both"/>
        <w:rPr>
          <w:lang w:val="es-ES"/>
        </w:rPr>
      </w:pPr>
      <w:r w:rsidRPr="007252B7">
        <w:rPr>
          <w:lang w:val="es-ES"/>
        </w:rPr>
        <w:t>Los participantes aceptarán las decisiones del Comité Científico, que se entenderán como inapelables.</w:t>
      </w:r>
    </w:p>
    <w:p w14:paraId="35E978BD" w14:textId="77777777" w:rsidR="007252B7" w:rsidRPr="007252B7" w:rsidRDefault="007252B7" w:rsidP="007252B7">
      <w:pPr>
        <w:jc w:val="both"/>
        <w:rPr>
          <w:lang w:val="es-ES"/>
        </w:rPr>
      </w:pPr>
      <w:r w:rsidRPr="007252B7">
        <w:rPr>
          <w:lang w:val="es-ES"/>
        </w:rPr>
        <w:t>ViiV Healthcare se reserva el derecho a cancelar, modificar, o proceder a la suspensión del proceso de selección o a declarar desiertas las becas, si así lo considerara oportuno.</w:t>
      </w:r>
    </w:p>
    <w:p w14:paraId="58C9A8D9" w14:textId="77777777" w:rsidR="007252B7" w:rsidRPr="007252B7" w:rsidRDefault="007252B7" w:rsidP="007252B7">
      <w:pPr>
        <w:jc w:val="both"/>
        <w:rPr>
          <w:lang w:val="es-ES"/>
        </w:rPr>
      </w:pPr>
      <w:r w:rsidRPr="007252B7">
        <w:rPr>
          <w:lang w:val="es-ES"/>
        </w:rPr>
        <w:t>Los participantes aseguran, bajo su responsabilidad, que la información entregada mediante el formulario de solicitud es fidedigna y que son los titulares de todos los derechos de propiedad intelectual e industrial de las ideas que presentan, no habiendo hecho uso de información privilegiada o registrada sin los permisos correspondientes.</w:t>
      </w:r>
    </w:p>
    <w:p w14:paraId="4B5F83E5" w14:textId="77777777" w:rsidR="007252B7" w:rsidRPr="007252B7" w:rsidRDefault="007252B7" w:rsidP="007252B7">
      <w:pPr>
        <w:jc w:val="both"/>
        <w:rPr>
          <w:lang w:val="es-ES"/>
        </w:rPr>
      </w:pPr>
      <w:r w:rsidRPr="007252B7">
        <w:rPr>
          <w:lang w:val="es-ES"/>
        </w:rPr>
        <w:t>En cualquier caso, la propiedad intelectual de la información entregada mediante el formulario de solicitud no será cedida, bajo ninguna circunstancia, a ViiV Healthcare.</w:t>
      </w:r>
    </w:p>
    <w:p w14:paraId="2A53B3B9" w14:textId="77777777" w:rsidR="007252B7" w:rsidRPr="007252B7" w:rsidRDefault="007252B7" w:rsidP="007252B7">
      <w:pPr>
        <w:jc w:val="both"/>
        <w:rPr>
          <w:lang w:val="es-ES"/>
        </w:rPr>
      </w:pPr>
      <w:r w:rsidRPr="007252B7">
        <w:rPr>
          <w:lang w:val="es-ES"/>
        </w:rPr>
        <w:t>Los solicitantes serán responsables frente a ViiV Healthcare por todos los daños inmediatos o mediatos, directos o indirectos, causados o que pudieren causar por la infracción de estas bases. La extensión de la responsabilidad alcanzará las consecuencias inmediatas, mediatas y futuras.</w:t>
      </w:r>
    </w:p>
    <w:p w14:paraId="18D150F2" w14:textId="1607C7E1" w:rsidR="00826FED" w:rsidRPr="00826FED" w:rsidRDefault="007252B7" w:rsidP="007252B7">
      <w:pPr>
        <w:jc w:val="both"/>
        <w:rPr>
          <w:lang w:val="es-ES"/>
        </w:rPr>
      </w:pPr>
      <w:r w:rsidRPr="007252B7">
        <w:rPr>
          <w:lang w:val="es-ES"/>
        </w:rPr>
        <w:t xml:space="preserve">Asimismo, los solicitantes serán responsables frente a ViiV Healthcare, en los mismos términos, en caso de que con la candidatura presentada a ViiV Healthcare, la participación a través de la aportación de la documentación o de sus contenidos en la </w:t>
      </w:r>
      <w:r w:rsidR="0072210F">
        <w:rPr>
          <w:lang w:val="es-ES"/>
        </w:rPr>
        <w:t>C</w:t>
      </w:r>
      <w:r w:rsidRPr="007252B7">
        <w:rPr>
          <w:lang w:val="es-ES"/>
        </w:rPr>
        <w:t>onvocatoria de las becas, infrinjan derechos de terceros, y mantendrán indemne e indemnizarán a ViiV Healthcare y a los terceros afectados por todos los daños y perjuicios causados, incluido todo tipo de reclamaciones, procedimientos judiciales o extrajudiciales</w:t>
      </w:r>
      <w:r w:rsidR="00826FED" w:rsidRPr="00826FED">
        <w:rPr>
          <w:lang w:val="es-ES"/>
        </w:rPr>
        <w:t>.</w:t>
      </w:r>
    </w:p>
    <w:p w14:paraId="311B066B" w14:textId="77777777" w:rsidR="00826FED" w:rsidRPr="00826FED" w:rsidRDefault="00826FED" w:rsidP="00826FED">
      <w:pPr>
        <w:jc w:val="both"/>
        <w:rPr>
          <w:b/>
          <w:lang w:val="es-ES"/>
        </w:rPr>
      </w:pPr>
    </w:p>
    <w:p w14:paraId="74D1FAAE" w14:textId="7D499A95" w:rsidR="00826FED" w:rsidRPr="008B7FCA" w:rsidRDefault="00826FED" w:rsidP="00826FED">
      <w:pPr>
        <w:pStyle w:val="Heading12lines"/>
        <w:rPr>
          <w:lang w:val="es-ES"/>
        </w:rPr>
      </w:pPr>
      <w:r w:rsidRPr="008B7FCA">
        <w:rPr>
          <w:lang w:val="es-ES"/>
        </w:rPr>
        <w:t>10. Confidencialidad</w:t>
      </w:r>
    </w:p>
    <w:p w14:paraId="4EE353A5" w14:textId="77777777" w:rsidR="00826FED" w:rsidRDefault="00826FED" w:rsidP="00826FED">
      <w:pPr>
        <w:jc w:val="both"/>
        <w:rPr>
          <w:lang w:val="es-ES"/>
        </w:rPr>
      </w:pPr>
    </w:p>
    <w:p w14:paraId="368ACDD0" w14:textId="4E0C9B86" w:rsidR="00826FED" w:rsidRPr="00826FED" w:rsidRDefault="007252B7" w:rsidP="00826FED">
      <w:pPr>
        <w:jc w:val="both"/>
        <w:rPr>
          <w:lang w:val="es-ES"/>
        </w:rPr>
      </w:pPr>
      <w:r w:rsidRPr="007252B7">
        <w:rPr>
          <w:lang w:val="es-ES"/>
        </w:rPr>
        <w:t xml:space="preserve">Toda la información y documentación empresarial, científica, técnica, comercial, o de cualquier otra naturaleza relativos a los solicitantes y las solicitudes presentadas a la </w:t>
      </w:r>
      <w:r w:rsidR="0072210F">
        <w:rPr>
          <w:lang w:val="es-ES"/>
        </w:rPr>
        <w:t>C</w:t>
      </w:r>
      <w:r w:rsidRPr="007252B7">
        <w:rPr>
          <w:lang w:val="es-ES"/>
        </w:rPr>
        <w:t xml:space="preserve">onvocatoria de las becas serán tratados con la más absoluta confidencialidad. ViiV Healthcare sólo podrá utilizar la información de carácter descriptiva de las solicitudes, en los términos recogidos en las presentes bases legales y para fines relacionados con la </w:t>
      </w:r>
      <w:r w:rsidR="0072210F">
        <w:rPr>
          <w:lang w:val="es-ES"/>
        </w:rPr>
        <w:t>C</w:t>
      </w:r>
      <w:r w:rsidRPr="007252B7">
        <w:rPr>
          <w:lang w:val="es-ES"/>
        </w:rPr>
        <w:t>onvocatoria de las becas, y solo en la medida necesaria a tal efecto</w:t>
      </w:r>
      <w:r w:rsidR="00826FED" w:rsidRPr="00826FED">
        <w:rPr>
          <w:lang w:val="es-ES"/>
        </w:rPr>
        <w:t>.</w:t>
      </w:r>
    </w:p>
    <w:p w14:paraId="06066DEC" w14:textId="77777777" w:rsidR="00826FED" w:rsidRPr="00826FED" w:rsidRDefault="00826FED" w:rsidP="00826FED">
      <w:pPr>
        <w:jc w:val="both"/>
        <w:rPr>
          <w:lang w:val="es-ES"/>
        </w:rPr>
      </w:pPr>
    </w:p>
    <w:p w14:paraId="3FB3A38B" w14:textId="109BE6BA" w:rsidR="00826FED" w:rsidRPr="00826FED" w:rsidRDefault="00826FED" w:rsidP="00826FED">
      <w:pPr>
        <w:pStyle w:val="Heading12lines"/>
        <w:rPr>
          <w:lang w:val="es-ES"/>
        </w:rPr>
      </w:pPr>
      <w:r w:rsidRPr="00826FED">
        <w:rPr>
          <w:lang w:val="es-ES"/>
        </w:rPr>
        <w:lastRenderedPageBreak/>
        <w:t>11. Protección de datos</w:t>
      </w:r>
    </w:p>
    <w:p w14:paraId="01A123A4" w14:textId="77777777" w:rsidR="00826FED" w:rsidRDefault="00826FED" w:rsidP="00826FED">
      <w:pPr>
        <w:jc w:val="both"/>
        <w:rPr>
          <w:lang w:val="es-ES"/>
        </w:rPr>
      </w:pPr>
    </w:p>
    <w:p w14:paraId="5B22C34E" w14:textId="7BE76CEE" w:rsidR="007252B7" w:rsidRPr="007252B7" w:rsidRDefault="007252B7" w:rsidP="007252B7">
      <w:pPr>
        <w:jc w:val="both"/>
        <w:rPr>
          <w:lang w:val="es-ES"/>
        </w:rPr>
      </w:pPr>
      <w:r w:rsidRPr="007252B7">
        <w:rPr>
          <w:lang w:val="es-ES"/>
        </w:rPr>
        <w:t xml:space="preserve">Determinada información personal que pueda estar contenida en las solicitudes presentadas por los solicitantes, tal como su información básica y sus datos de contacto, podrá ser tratada por ViiV Healthcare y las empresas del grupo GlaxoSmithKline, del que ViiV Healthcare forma parte, así como determinadas terceras partes de confianza que prestan servicios a ViiV Healthcare en España y otros lugares del mundo, o autoridades, para la ejecución de la presente </w:t>
      </w:r>
      <w:r w:rsidR="0072210F">
        <w:rPr>
          <w:lang w:val="es-ES"/>
        </w:rPr>
        <w:t>C</w:t>
      </w:r>
      <w:r w:rsidRPr="007252B7">
        <w:rPr>
          <w:lang w:val="es-ES"/>
        </w:rPr>
        <w:t xml:space="preserve">onvocatoria de becas, interactuar con los participantes en la misma, mejorar nuestras operaciones cotidianas, así como para planificar y gestionar actividades respecto a las cuales los participantes puedan, en su caso, tener interés en el futuro, teniendo como base para esto, los fines legítimos y el cumplimiento de las obligaciones legales de ViiV Healthcare. La Política de Privacidad de ViiV Healthcare vigente en cada momento explica cómo y para qué ViiV Healthcare realiza un tratamiento de los datos personales del candidato. Por favor, lea atentamente la Política de Privacidad de ViiV Healthcare referente a la presente </w:t>
      </w:r>
      <w:r w:rsidR="0072210F">
        <w:rPr>
          <w:lang w:val="es-ES"/>
        </w:rPr>
        <w:t>C</w:t>
      </w:r>
      <w:r w:rsidRPr="007252B7">
        <w:rPr>
          <w:lang w:val="es-ES"/>
        </w:rPr>
        <w:t xml:space="preserve">onvocatoria de bases, pulsando en el siguiente enlace </w:t>
      </w:r>
      <w:hyperlink r:id="rId13" w:history="1">
        <w:r w:rsidRPr="007252B7">
          <w:rPr>
            <w:rStyle w:val="Hyperlink"/>
            <w:lang w:val="es-ES"/>
          </w:rPr>
          <w:t>https://www.viiv-vih.com/terminos-de-uso-de-viiv-healthcare/</w:t>
        </w:r>
      </w:hyperlink>
      <w:r w:rsidR="00F01D6D">
        <w:rPr>
          <w:rStyle w:val="Hyperlink"/>
          <w:lang w:val="es-ES"/>
        </w:rPr>
        <w:t>.</w:t>
      </w:r>
    </w:p>
    <w:p w14:paraId="1EA3DC9C" w14:textId="23A70D9E" w:rsidR="00826FED" w:rsidRDefault="007252B7" w:rsidP="007252B7">
      <w:pPr>
        <w:jc w:val="both"/>
        <w:rPr>
          <w:lang w:val="es-ES"/>
        </w:rPr>
      </w:pPr>
      <w:r w:rsidRPr="007252B7">
        <w:rPr>
          <w:lang w:val="es-ES"/>
        </w:rPr>
        <w:t>Laboratorios ViiV Healthcare S.L., con domicilio social en la Calle Severo Ochoa, 2, 28760 – Tres Cantos, Madrid, es el responsable del tratamiento de la información personal</w:t>
      </w:r>
      <w:r w:rsidR="00826FED" w:rsidRPr="00826FED">
        <w:rPr>
          <w:lang w:val="es-ES"/>
        </w:rPr>
        <w:t xml:space="preserve">. </w:t>
      </w:r>
    </w:p>
    <w:p w14:paraId="5AC22749" w14:textId="5BEC7D9C" w:rsidR="007252B7" w:rsidRPr="00826FED" w:rsidRDefault="007252B7" w:rsidP="007252B7">
      <w:pPr>
        <w:jc w:val="both"/>
        <w:rPr>
          <w:lang w:val="es-ES"/>
        </w:rPr>
      </w:pPr>
      <w:r w:rsidRPr="007252B7">
        <w:rPr>
          <w:lang w:val="es-ES"/>
        </w:rPr>
        <w:t xml:space="preserve">En cualquier momento, los participantes pueden, en relación con sus datos personales, ejercer los derechos de acceso, rectificación y supresión, además de aquellos otros señalados en la Política de Privacidad mencionada previamente, en los términos establecidos en la legislación vigente. Para esta finalidad, puede dirigirse al correo electrónico </w:t>
      </w:r>
      <w:hyperlink r:id="rId14" w:history="1">
        <w:r w:rsidRPr="007252B7">
          <w:rPr>
            <w:rStyle w:val="Hyperlink"/>
            <w:lang w:val="es-ES"/>
          </w:rPr>
          <w:t>es.arco-general@viivhealthcare.com</w:t>
        </w:r>
      </w:hyperlink>
      <w:r w:rsidRPr="007252B7">
        <w:rPr>
          <w:lang w:val="es-ES"/>
        </w:rPr>
        <w:t>.</w:t>
      </w:r>
    </w:p>
    <w:p w14:paraId="0F531EF2" w14:textId="77777777" w:rsidR="00826FED" w:rsidRPr="00826FED" w:rsidRDefault="00826FED" w:rsidP="00826FED">
      <w:pPr>
        <w:jc w:val="both"/>
        <w:rPr>
          <w:lang w:val="es-ES"/>
        </w:rPr>
      </w:pPr>
    </w:p>
    <w:p w14:paraId="02D6EE54" w14:textId="46A88EA6" w:rsidR="00826FED" w:rsidRPr="008B7FCA" w:rsidRDefault="00826FED" w:rsidP="00826FED">
      <w:pPr>
        <w:pStyle w:val="Heading12lines"/>
        <w:rPr>
          <w:lang w:val="es-ES"/>
        </w:rPr>
      </w:pPr>
      <w:r w:rsidRPr="008B7FCA">
        <w:rPr>
          <w:lang w:val="es-ES"/>
        </w:rPr>
        <w:t>12. Jurisdicción y ley aplicable</w:t>
      </w:r>
    </w:p>
    <w:p w14:paraId="6FC6DF25" w14:textId="77777777" w:rsidR="00826FED" w:rsidRDefault="00826FED" w:rsidP="00826FED">
      <w:pPr>
        <w:jc w:val="both"/>
        <w:rPr>
          <w:lang w:val="es-ES"/>
        </w:rPr>
      </w:pPr>
    </w:p>
    <w:p w14:paraId="0A81B9C7" w14:textId="5228F492" w:rsidR="00826FED" w:rsidRPr="00826FED" w:rsidRDefault="00826FED" w:rsidP="00826FED">
      <w:pPr>
        <w:jc w:val="both"/>
        <w:rPr>
          <w:lang w:val="es-ES"/>
        </w:rPr>
      </w:pPr>
      <w:r w:rsidRPr="00826FED">
        <w:rPr>
          <w:lang w:val="es-ES"/>
        </w:rPr>
        <w:t>Para la interpretación y cumplimiento de estas bases legales, ViiV Healthcare y los solicitantes se someterán a la aplicación de las leyes de España. La resolución de las controversias que pudieran plantearse en relación a la interpretación, cumplimiento, modificación o ejecución de las presentes Bases,</w:t>
      </w:r>
      <w:r w:rsidR="00913E01">
        <w:rPr>
          <w:lang w:val="es-ES"/>
        </w:rPr>
        <w:t xml:space="preserve"> </w:t>
      </w:r>
      <w:r w:rsidRPr="00826FED">
        <w:rPr>
          <w:lang w:val="es-ES"/>
        </w:rPr>
        <w:t>serán resueltas ante los Juzgados y Tribunales de Justicia de la ciudad de Madrid, con renuncia expresa a cualquier otro foro que les pudiera resultar de aplicación.</w:t>
      </w:r>
    </w:p>
    <w:p w14:paraId="2DC0AFAF" w14:textId="77777777" w:rsidR="00826FED" w:rsidRPr="00826FED" w:rsidRDefault="00826FED" w:rsidP="00826FED">
      <w:pPr>
        <w:jc w:val="both"/>
        <w:rPr>
          <w:lang w:val="es-ES"/>
        </w:rPr>
      </w:pPr>
    </w:p>
    <w:p w14:paraId="5420935F" w14:textId="3762F70C" w:rsidR="00826FED" w:rsidRPr="008B7FCA" w:rsidRDefault="00826FED" w:rsidP="00826FED">
      <w:pPr>
        <w:pStyle w:val="Heading12lines"/>
        <w:rPr>
          <w:lang w:val="es-ES"/>
        </w:rPr>
      </w:pPr>
      <w:r w:rsidRPr="008B7FCA">
        <w:rPr>
          <w:lang w:val="es-ES"/>
        </w:rPr>
        <w:t xml:space="preserve">13. Transparencia </w:t>
      </w:r>
    </w:p>
    <w:p w14:paraId="6F08F681" w14:textId="77777777" w:rsidR="00826FED" w:rsidRDefault="00826FED" w:rsidP="00826FED">
      <w:pPr>
        <w:jc w:val="both"/>
        <w:rPr>
          <w:lang w:val="es-ES"/>
        </w:rPr>
      </w:pPr>
    </w:p>
    <w:p w14:paraId="2C3621BE" w14:textId="6BCAC193" w:rsidR="007252B7" w:rsidRPr="007252B7" w:rsidRDefault="007252B7" w:rsidP="007252B7">
      <w:pPr>
        <w:jc w:val="both"/>
        <w:rPr>
          <w:lang w:val="es-ES"/>
        </w:rPr>
      </w:pPr>
      <w:r w:rsidRPr="007252B7">
        <w:rPr>
          <w:lang w:val="es-ES"/>
        </w:rPr>
        <w:t xml:space="preserve">La legislación o normativa (incluida la autorregulación) puede requerir de las compañías farmacéuticas la divulgación pública de cierta información al objeto de reforzar la trasparencia, tal como, donaciones y subvenciones, pago por servicios prestados, acuerdos de patrocinio o gastos de eventos, en la medida en que representen transferencias de valor realizadas por parte de las compañías farmacéuticas en favor de organizaciones sanitarias. La aceptación de las presentes bases implica que ViiV Healthcare podrá reportar y revelar, periódicamente y de manera individualizada, dichas transferencias de valor, así como cualquier información relacionada de conformidad con las leyes y normativa (incluyendo la autorregulación) vigentes, tanto durante el periodo de vigencia de la presente </w:t>
      </w:r>
      <w:r w:rsidR="0072210F">
        <w:rPr>
          <w:lang w:val="es-ES"/>
        </w:rPr>
        <w:t>C</w:t>
      </w:r>
      <w:r w:rsidRPr="007252B7">
        <w:rPr>
          <w:lang w:val="es-ES"/>
        </w:rPr>
        <w:t xml:space="preserve">onvocatoria como con posterioridad a la misma. La información detallada sobre las transferencias de valor efectuadas por las compañías pertenecientes al grupo de empresas GlaxoSmithKline, al cual pertenece ViiV Healthcare, será accesible a través de la página web </w:t>
      </w:r>
      <w:hyperlink r:id="rId15" w:history="1">
        <w:r w:rsidRPr="007252B7">
          <w:rPr>
            <w:rStyle w:val="Hyperlink"/>
            <w:lang w:val="es-ES"/>
          </w:rPr>
          <w:t>https://es.gsk.com/es-es/profesionales-sanitarios/publicacion-de-colaboraciones/</w:t>
        </w:r>
      </w:hyperlink>
      <w:r w:rsidRPr="007252B7">
        <w:rPr>
          <w:lang w:val="es-ES"/>
        </w:rPr>
        <w:t>.</w:t>
      </w:r>
    </w:p>
    <w:p w14:paraId="70F4FA2E" w14:textId="33D2F9D1" w:rsidR="00826FED" w:rsidRPr="00826FED" w:rsidRDefault="007252B7" w:rsidP="00A01A47">
      <w:pPr>
        <w:jc w:val="both"/>
        <w:rPr>
          <w:lang w:val="es-ES"/>
        </w:rPr>
      </w:pPr>
      <w:r w:rsidRPr="007252B7">
        <w:rPr>
          <w:lang w:val="es-ES"/>
        </w:rPr>
        <w:t xml:space="preserve">Asimismo, la legislación o normativa (incluida la autorregulación) puede requerir de las compañías farmacéuticas la divulgación pública de cierta información al objeto de reforzar la transparencia, tal como, el pago por servicios prestados o de los costes de eventos (cuotas de inscripción, desplazamiento y alojamiento), en la medida en que representen transferencias de valor realizadas por parte de las compañías farmacéuticas, directa o indirectamente, en favor de profesionales sanitarios. En este sentido, le comunicamos que se podrá informar y publicar, periódicamente, de manera individualizada y acumulada por categoría, dichas transferencias de valor, así como cualquier información relacionada de conformidad con las leyes y normativa vigente, en particular con el artículo 18 del Código español de Buenas Prácticas de </w:t>
      </w:r>
      <w:proofErr w:type="spellStart"/>
      <w:r w:rsidRPr="007252B7">
        <w:rPr>
          <w:lang w:val="es-ES"/>
        </w:rPr>
        <w:t>Farmaindustria</w:t>
      </w:r>
      <w:proofErr w:type="spellEnd"/>
      <w:r w:rsidRPr="007252B7">
        <w:rPr>
          <w:lang w:val="es-ES"/>
        </w:rPr>
        <w:t xml:space="preserve"> (en adelante, el Código). Los datos a publicar son los necesarios y estrictamente </w:t>
      </w:r>
      <w:r w:rsidRPr="007252B7">
        <w:rPr>
          <w:lang w:val="es-ES"/>
        </w:rPr>
        <w:lastRenderedPageBreak/>
        <w:t xml:space="preserve">imprescindibles para la finalidad para la que se han recogido, su uso será exclusivo para cumplir con los fines y las obligaciones de transparencia del Código, siendo exactos en el momento de la toma de los mismos, de forma que responden a su situación de forma veraz. La información una vez publicada, estará disponible durante un período mínimo de 3 años desde su publicación y se mantendrá en nuestros archivos la documentación que acredite las transferencias de valor por un período mínimo de 5 años desde la finalización de cada período. La información detallada sobre las transferencias de valor efectuadas por las compañías pertenecientes al grupo de empresas GlaxoSmithKline, al cual pertenece ViiV Healthcare, será accesible a través de la página web </w:t>
      </w:r>
      <w:hyperlink r:id="rId16" w:history="1">
        <w:r w:rsidRPr="007252B7">
          <w:rPr>
            <w:rStyle w:val="Hyperlink"/>
            <w:lang w:val="es-ES"/>
          </w:rPr>
          <w:t>https://es.gsk.com/es-es/profesionales-sanitarios/publicacion-de-colaboraciones/</w:t>
        </w:r>
      </w:hyperlink>
      <w:r w:rsidRPr="007252B7">
        <w:rPr>
          <w:lang w:val="es-ES"/>
        </w:rPr>
        <w:t>.</w:t>
      </w:r>
    </w:p>
    <w:sectPr w:rsidR="00826FED" w:rsidRPr="00826FED" w:rsidSect="00B93F99">
      <w:headerReference w:type="default" r:id="rId17"/>
      <w:footerReference w:type="default" r:id="rId18"/>
      <w:headerReference w:type="first" r:id="rId19"/>
      <w:footerReference w:type="first" r:id="rId20"/>
      <w:pgSz w:w="11906" w:h="16838" w:code="9"/>
      <w:pgMar w:top="1588" w:right="1416" w:bottom="1474" w:left="158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B647" w14:textId="77777777" w:rsidR="00B93F99" w:rsidRDefault="00B93F99" w:rsidP="00A5206C">
      <w:pPr>
        <w:spacing w:after="0"/>
      </w:pPr>
      <w:r>
        <w:separator/>
      </w:r>
    </w:p>
  </w:endnote>
  <w:endnote w:type="continuationSeparator" w:id="0">
    <w:p w14:paraId="5E87442D" w14:textId="77777777" w:rsidR="00B93F99" w:rsidRDefault="00B93F99" w:rsidP="00A52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ViiV BETA">
    <w:altName w:val="Cambria"/>
    <w:panose1 w:val="00000000000000000000"/>
    <w:charset w:val="EE"/>
    <w:family w:val="roman"/>
    <w:notTrueType/>
    <w:pitch w:val="variable"/>
    <w:sig w:usb0="A000006F" w:usb1="4000207A" w:usb2="00000000" w:usb3="00000000" w:csb0="00000012" w:csb1="00000000"/>
  </w:font>
  <w:font w:name="Segoe UI">
    <w:panose1 w:val="020B0502040204020203"/>
    <w:charset w:val="00"/>
    <w:family w:val="swiss"/>
    <w:pitch w:val="variable"/>
    <w:sig w:usb0="E4002EFF" w:usb1="C000E47F" w:usb2="00000009" w:usb3="00000000" w:csb0="000001FF" w:csb1="00000000"/>
  </w:font>
  <w:font w:name="Breakthrough">
    <w:altName w:val="Cambria"/>
    <w:panose1 w:val="02060603040202040303"/>
    <w:charset w:val="A2"/>
    <w:family w:val="roman"/>
    <w:pitch w:val="variable"/>
    <w:sig w:usb0="A000006F" w:usb1="4000207A" w:usb2="00000000" w:usb3="00000000" w:csb0="0000001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26" w:type="dxa"/>
      <w:tblBorders>
        <w:bottom w:val="single" w:sz="4" w:space="0" w:color="D0D3D4" w:themeColor="background2"/>
      </w:tblBorders>
      <w:tblCellMar>
        <w:left w:w="0" w:type="dxa"/>
        <w:bottom w:w="142" w:type="dxa"/>
        <w:right w:w="0" w:type="dxa"/>
      </w:tblCellMar>
      <w:tblLook w:val="04A0" w:firstRow="1" w:lastRow="0" w:firstColumn="1" w:lastColumn="0" w:noHBand="0" w:noVBand="1"/>
    </w:tblPr>
    <w:tblGrid>
      <w:gridCol w:w="8926"/>
    </w:tblGrid>
    <w:tr w:rsidR="00EB4139" w:rsidRPr="00112DC0" w14:paraId="7AB3BBAA" w14:textId="77777777" w:rsidTr="00AE7756">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auto"/>
        </w:tcPr>
        <w:p w14:paraId="732C0474" w14:textId="77777777" w:rsidR="00EB4139" w:rsidRPr="00112DC0" w:rsidRDefault="00EB4139" w:rsidP="00EB4139">
          <w:pPr>
            <w:pStyle w:val="Footer"/>
            <w:rPr>
              <w:szCs w:val="14"/>
            </w:rPr>
          </w:pPr>
        </w:p>
      </w:tc>
    </w:tr>
  </w:tbl>
  <w:p w14:paraId="5C336DC1" w14:textId="0DB9BEDA" w:rsidR="00647CD0" w:rsidRPr="00D22AB5" w:rsidRDefault="00647CD0" w:rsidP="004A5E3A">
    <w:pPr>
      <w:pStyle w:val="Footer"/>
      <w:spacing w:before="240"/>
      <w:rPr>
        <w:szCs w:val="14"/>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15A" w14:textId="3F1B6015" w:rsidR="00112DC0" w:rsidRPr="005D2709" w:rsidRDefault="00310474" w:rsidP="00A85A58">
    <w:pPr>
      <w:pStyle w:val="Footer"/>
      <w:jc w:val="both"/>
      <w:rPr>
        <w:sz w:val="12"/>
        <w:szCs w:val="20"/>
        <w:lang w:val="de-DE"/>
      </w:rPr>
    </w:pPr>
    <w:r w:rsidRPr="005D2709">
      <w:rPr>
        <w:rFonts w:ascii="Arial" w:hAnsi="Arial" w:cs="Arial"/>
        <w:color w:val="303030"/>
        <w:sz w:val="16"/>
        <w:szCs w:val="16"/>
        <w:shd w:val="clear" w:color="auto" w:fill="FFFFFF"/>
        <w:lang w:val="de-DE"/>
      </w:rPr>
      <w:t>NP-ES-HVX-BROC-240001(v1)</w:t>
    </w:r>
    <w:r w:rsidR="005D2709" w:rsidRPr="005D2709">
      <w:rPr>
        <w:rFonts w:ascii="Arial" w:hAnsi="Arial" w:cs="Arial"/>
        <w:color w:val="303030"/>
        <w:sz w:val="16"/>
        <w:szCs w:val="16"/>
        <w:shd w:val="clear" w:color="auto" w:fill="FFFFFF"/>
        <w:lang w:val="de-DE"/>
      </w:rPr>
      <w:t xml:space="preserve"> </w:t>
    </w:r>
    <w:r w:rsidR="001257C8">
      <w:rPr>
        <w:rFonts w:ascii="Arial" w:hAnsi="Arial" w:cs="Arial"/>
        <w:color w:val="303030"/>
        <w:sz w:val="16"/>
        <w:szCs w:val="16"/>
        <w:shd w:val="clear" w:color="auto" w:fill="FFFFFF"/>
        <w:lang w:val="de-DE"/>
      </w:rPr>
      <w:t>04</w:t>
    </w:r>
    <w:r w:rsidR="005D2709" w:rsidRPr="005D2709">
      <w:rPr>
        <w:rFonts w:ascii="Arial" w:hAnsi="Arial" w:cs="Arial"/>
        <w:color w:val="303030"/>
        <w:sz w:val="16"/>
        <w:szCs w:val="16"/>
        <w:shd w:val="clear" w:color="auto" w:fill="FFFFFF"/>
        <w:lang w:val="de-D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D04B" w14:textId="77777777" w:rsidR="00B93F99" w:rsidRDefault="00B93F99" w:rsidP="00A5206C">
      <w:pPr>
        <w:spacing w:after="0"/>
      </w:pPr>
      <w:r>
        <w:separator/>
      </w:r>
    </w:p>
  </w:footnote>
  <w:footnote w:type="continuationSeparator" w:id="0">
    <w:p w14:paraId="659802A8" w14:textId="77777777" w:rsidR="00B93F99" w:rsidRDefault="00B93F99" w:rsidP="00A52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9085" w14:textId="77777777" w:rsidR="00647CD0" w:rsidRPr="00647CD0" w:rsidRDefault="00647CD0">
    <w:pPr>
      <w:pStyle w:val="Header"/>
      <w:rPr>
        <w:szCs w:val="15"/>
      </w:rPr>
    </w:pPr>
    <w:r>
      <w:rPr>
        <w:b/>
        <w:noProof/>
        <w:szCs w:val="15"/>
      </w:rPr>
      <w:drawing>
        <wp:anchor distT="0" distB="0" distL="114300" distR="114300" simplePos="0" relativeHeight="251664384" behindDoc="1" locked="0" layoutInCell="1" allowOverlap="1" wp14:anchorId="678E8EB0" wp14:editId="6304E102">
          <wp:simplePos x="0" y="0"/>
          <wp:positionH relativeFrom="page">
            <wp:posOffset>125730</wp:posOffset>
          </wp:positionH>
          <wp:positionV relativeFrom="page">
            <wp:posOffset>125730</wp:posOffset>
          </wp:positionV>
          <wp:extent cx="766800" cy="208800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r w:rsidRPr="000C144B">
      <w:rPr>
        <w:b/>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ECE5" w14:textId="41B52354" w:rsidR="00112DC0" w:rsidRPr="00053636" w:rsidRDefault="00053636" w:rsidP="00053636">
    <w:pPr>
      <w:pStyle w:val="Header"/>
      <w:jc w:val="right"/>
      <w:rPr>
        <w:b/>
        <w:sz w:val="20"/>
        <w:szCs w:val="15"/>
        <w:lang w:val="es-ES_tradnl"/>
      </w:rPr>
    </w:pPr>
    <w:r>
      <w:rPr>
        <w:b/>
        <w:noProof/>
        <w:szCs w:val="15"/>
      </w:rPr>
      <w:drawing>
        <wp:anchor distT="0" distB="0" distL="114300" distR="114300" simplePos="0" relativeHeight="251672576" behindDoc="0" locked="0" layoutInCell="1" allowOverlap="1" wp14:anchorId="5D8890B7" wp14:editId="5B24A634">
          <wp:simplePos x="0" y="0"/>
          <wp:positionH relativeFrom="column">
            <wp:posOffset>5687695</wp:posOffset>
          </wp:positionH>
          <wp:positionV relativeFrom="paragraph">
            <wp:posOffset>-344170</wp:posOffset>
          </wp:positionV>
          <wp:extent cx="534035" cy="790575"/>
          <wp:effectExtent l="0" t="0" r="0" b="9525"/>
          <wp:wrapThrough wrapText="bothSides">
            <wp:wrapPolygon edited="0">
              <wp:start x="7705" y="0"/>
              <wp:lineTo x="5394" y="3643"/>
              <wp:lineTo x="5394" y="8328"/>
              <wp:lineTo x="0" y="15094"/>
              <wp:lineTo x="0" y="21340"/>
              <wp:lineTo x="3082" y="21340"/>
              <wp:lineTo x="20804" y="19258"/>
              <wp:lineTo x="20804" y="15094"/>
              <wp:lineTo x="18492" y="2602"/>
              <wp:lineTo x="15410" y="0"/>
              <wp:lineTo x="77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png"/>
                  <pic:cNvPicPr/>
                </pic:nvPicPr>
                <pic:blipFill>
                  <a:blip r:embed="rId1">
                    <a:extLst>
                      <a:ext uri="{28A0092B-C50C-407E-A947-70E740481C1C}">
                        <a14:useLocalDpi xmlns:a14="http://schemas.microsoft.com/office/drawing/2010/main" val="0"/>
                      </a:ext>
                    </a:extLst>
                  </a:blip>
                  <a:stretch>
                    <a:fillRect/>
                  </a:stretch>
                </pic:blipFill>
                <pic:spPr>
                  <a:xfrm>
                    <a:off x="0" y="0"/>
                    <a:ext cx="534035" cy="790575"/>
                  </a:xfrm>
                  <a:prstGeom prst="rect">
                    <a:avLst/>
                  </a:prstGeom>
                </pic:spPr>
              </pic:pic>
            </a:graphicData>
          </a:graphic>
        </wp:anchor>
      </w:drawing>
    </w:r>
    <w:r w:rsidRPr="00053636">
      <w:rPr>
        <w:b/>
        <w:sz w:val="20"/>
        <w:szCs w:val="15"/>
        <w:lang w:val="es-ES_tradnl"/>
      </w:rPr>
      <w:t>Becas ViiV Modelo Óptimo de Atención</w:t>
    </w:r>
    <w:r>
      <w:rPr>
        <w:b/>
        <w:sz w:val="20"/>
        <w:szCs w:val="15"/>
        <w:lang w:val="es-ES_tradnl"/>
      </w:rPr>
      <w:t xml:space="preserve"> </w:t>
    </w:r>
    <w:r w:rsidR="00AC18D6">
      <w:rPr>
        <w:b/>
        <w:sz w:val="20"/>
        <w:szCs w:val="15"/>
        <w:lang w:val="es-ES_tradnl"/>
      </w:rPr>
      <w:t xml:space="preserve">al </w:t>
    </w:r>
    <w:r w:rsidRPr="00053636">
      <w:rPr>
        <w:b/>
        <w:sz w:val="20"/>
        <w:szCs w:val="15"/>
        <w:lang w:val="es-ES_tradnl"/>
      </w:rPr>
      <w:t>paciente con</w:t>
    </w:r>
    <w:r w:rsidR="00163118">
      <w:rPr>
        <w:b/>
        <w:sz w:val="20"/>
        <w:szCs w:val="15"/>
        <w:lang w:val="es-ES_tradnl"/>
      </w:rPr>
      <w:t xml:space="preserve"> infección por el</w:t>
    </w:r>
    <w:r w:rsidRPr="00053636">
      <w:rPr>
        <w:b/>
        <w:sz w:val="20"/>
        <w:szCs w:val="15"/>
        <w:lang w:val="es-ES_tradnl"/>
      </w:rPr>
      <w:t xml:space="preserve"> VIH </w:t>
    </w:r>
    <w:r w:rsidR="00647CD0">
      <w:rPr>
        <w:b/>
        <w:noProof/>
        <w:szCs w:val="15"/>
      </w:rPr>
      <w:drawing>
        <wp:anchor distT="0" distB="0" distL="114300" distR="114300" simplePos="0" relativeHeight="251662336" behindDoc="1" locked="0" layoutInCell="1" allowOverlap="1" wp14:anchorId="2808FE0C" wp14:editId="7C06CE13">
          <wp:simplePos x="0" y="0"/>
          <wp:positionH relativeFrom="page">
            <wp:posOffset>125730</wp:posOffset>
          </wp:positionH>
          <wp:positionV relativeFrom="page">
            <wp:posOffset>125730</wp:posOffset>
          </wp:positionV>
          <wp:extent cx="766800" cy="208800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FAF"/>
    <w:multiLevelType w:val="hybridMultilevel"/>
    <w:tmpl w:val="5D061A04"/>
    <w:lvl w:ilvl="0" w:tplc="3CC8203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D67"/>
    <w:multiLevelType w:val="hybridMultilevel"/>
    <w:tmpl w:val="B7BAF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05D34"/>
    <w:multiLevelType w:val="hybridMultilevel"/>
    <w:tmpl w:val="9ADC603E"/>
    <w:lvl w:ilvl="0" w:tplc="D3564B18">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F5343F"/>
    <w:multiLevelType w:val="hybridMultilevel"/>
    <w:tmpl w:val="55C6DDAE"/>
    <w:lvl w:ilvl="0" w:tplc="207A6E92">
      <w:start w:val="1"/>
      <w:numFmt w:val="bullet"/>
      <w:pStyle w:val="Bulletlevel1"/>
      <w:lvlText w:val="/"/>
      <w:lvlJc w:val="left"/>
      <w:pPr>
        <w:ind w:left="360" w:hanging="360"/>
      </w:pPr>
      <w:rPr>
        <w:rFonts w:ascii="Raleway" w:hAnsi="Raleway" w:hint="default"/>
        <w:color w:val="E400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6368"/>
    <w:multiLevelType w:val="multilevel"/>
    <w:tmpl w:val="B7BA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A7784F"/>
    <w:multiLevelType w:val="hybridMultilevel"/>
    <w:tmpl w:val="38D80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0274708"/>
    <w:multiLevelType w:val="hybridMultilevel"/>
    <w:tmpl w:val="7B50227C"/>
    <w:lvl w:ilvl="0" w:tplc="D3564B18">
      <w:start w:val="1"/>
      <w:numFmt w:val="lowerRoman"/>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63C3899"/>
    <w:multiLevelType w:val="hybridMultilevel"/>
    <w:tmpl w:val="FE5A68FA"/>
    <w:lvl w:ilvl="0" w:tplc="D3564B18">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0C3A12"/>
    <w:multiLevelType w:val="hybridMultilevel"/>
    <w:tmpl w:val="237232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2984F6A"/>
    <w:multiLevelType w:val="hybridMultilevel"/>
    <w:tmpl w:val="DCD45E06"/>
    <w:lvl w:ilvl="0" w:tplc="04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BC3F10"/>
    <w:multiLevelType w:val="hybridMultilevel"/>
    <w:tmpl w:val="A5A2B4C2"/>
    <w:lvl w:ilvl="0" w:tplc="040A0019">
      <w:start w:val="1"/>
      <w:numFmt w:val="lowerLetter"/>
      <w:lvlText w:val="%1."/>
      <w:lvlJc w:val="left"/>
      <w:pPr>
        <w:ind w:left="360" w:hanging="360"/>
      </w:pPr>
      <w:rPr>
        <w:rFonts w:hint="default"/>
      </w:rPr>
    </w:lvl>
    <w:lvl w:ilvl="1" w:tplc="040A0019">
      <w:start w:val="1"/>
      <w:numFmt w:val="lowerLetter"/>
      <w:lvlText w:val="%2."/>
      <w:lvlJc w:val="left"/>
      <w:pPr>
        <w:ind w:left="107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58016D29"/>
    <w:multiLevelType w:val="hybridMultilevel"/>
    <w:tmpl w:val="9BE2C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A5F69"/>
    <w:multiLevelType w:val="hybridMultilevel"/>
    <w:tmpl w:val="CC7AFE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001FD7"/>
    <w:multiLevelType w:val="hybridMultilevel"/>
    <w:tmpl w:val="52E80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49052A"/>
    <w:multiLevelType w:val="hybridMultilevel"/>
    <w:tmpl w:val="FA0C3E5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FCD5429"/>
    <w:multiLevelType w:val="hybridMultilevel"/>
    <w:tmpl w:val="8BA6F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215964"/>
    <w:multiLevelType w:val="hybridMultilevel"/>
    <w:tmpl w:val="35DED4CC"/>
    <w:lvl w:ilvl="0" w:tplc="D3564B1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75386938">
    <w:abstractNumId w:val="3"/>
  </w:num>
  <w:num w:numId="2" w16cid:durableId="1921089048">
    <w:abstractNumId w:val="0"/>
  </w:num>
  <w:num w:numId="3" w16cid:durableId="1501890160">
    <w:abstractNumId w:val="5"/>
  </w:num>
  <w:num w:numId="4" w16cid:durableId="1489861944">
    <w:abstractNumId w:val="14"/>
  </w:num>
  <w:num w:numId="5" w16cid:durableId="950824046">
    <w:abstractNumId w:val="12"/>
  </w:num>
  <w:num w:numId="6" w16cid:durableId="575362193">
    <w:abstractNumId w:val="11"/>
  </w:num>
  <w:num w:numId="7" w16cid:durableId="1841503876">
    <w:abstractNumId w:val="15"/>
  </w:num>
  <w:num w:numId="8" w16cid:durableId="1412701349">
    <w:abstractNumId w:val="13"/>
  </w:num>
  <w:num w:numId="9" w16cid:durableId="1160072666">
    <w:abstractNumId w:val="8"/>
  </w:num>
  <w:num w:numId="10" w16cid:durableId="396629182">
    <w:abstractNumId w:val="9"/>
  </w:num>
  <w:num w:numId="11" w16cid:durableId="602610573">
    <w:abstractNumId w:val="1"/>
  </w:num>
  <w:num w:numId="12" w16cid:durableId="246884375">
    <w:abstractNumId w:val="6"/>
  </w:num>
  <w:num w:numId="13" w16cid:durableId="11881927">
    <w:abstractNumId w:val="7"/>
  </w:num>
  <w:num w:numId="14" w16cid:durableId="181558608">
    <w:abstractNumId w:val="16"/>
  </w:num>
  <w:num w:numId="15" w16cid:durableId="1448617234">
    <w:abstractNumId w:val="10"/>
  </w:num>
  <w:num w:numId="16" w16cid:durableId="856701180">
    <w:abstractNumId w:val="4"/>
  </w:num>
  <w:num w:numId="17" w16cid:durableId="1324970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13EDB"/>
    <w:rsid w:val="0002682B"/>
    <w:rsid w:val="00053636"/>
    <w:rsid w:val="00060669"/>
    <w:rsid w:val="00067310"/>
    <w:rsid w:val="000B15F2"/>
    <w:rsid w:val="000C144B"/>
    <w:rsid w:val="000C321B"/>
    <w:rsid w:val="000E0804"/>
    <w:rsid w:val="00110F04"/>
    <w:rsid w:val="00112DC0"/>
    <w:rsid w:val="001257C8"/>
    <w:rsid w:val="001450C5"/>
    <w:rsid w:val="00163118"/>
    <w:rsid w:val="001730B9"/>
    <w:rsid w:val="001878BF"/>
    <w:rsid w:val="001B4F72"/>
    <w:rsid w:val="001C51D2"/>
    <w:rsid w:val="001D2848"/>
    <w:rsid w:val="001E6D27"/>
    <w:rsid w:val="001F01E6"/>
    <w:rsid w:val="001F162C"/>
    <w:rsid w:val="001F51BE"/>
    <w:rsid w:val="001F7945"/>
    <w:rsid w:val="00204DFA"/>
    <w:rsid w:val="00205AF4"/>
    <w:rsid w:val="00230F7F"/>
    <w:rsid w:val="00257939"/>
    <w:rsid w:val="002601F2"/>
    <w:rsid w:val="0026159B"/>
    <w:rsid w:val="0028143C"/>
    <w:rsid w:val="00285F36"/>
    <w:rsid w:val="00291CFA"/>
    <w:rsid w:val="002A6168"/>
    <w:rsid w:val="002A6185"/>
    <w:rsid w:val="002C6C47"/>
    <w:rsid w:val="002D3C43"/>
    <w:rsid w:val="003003CF"/>
    <w:rsid w:val="00310474"/>
    <w:rsid w:val="00326E7D"/>
    <w:rsid w:val="00332D6A"/>
    <w:rsid w:val="00340429"/>
    <w:rsid w:val="00352CF6"/>
    <w:rsid w:val="00364B27"/>
    <w:rsid w:val="00382640"/>
    <w:rsid w:val="00397A19"/>
    <w:rsid w:val="003A017F"/>
    <w:rsid w:val="003A17BA"/>
    <w:rsid w:val="003A64FD"/>
    <w:rsid w:val="003B4F57"/>
    <w:rsid w:val="003D64B1"/>
    <w:rsid w:val="003E34B8"/>
    <w:rsid w:val="003F638F"/>
    <w:rsid w:val="00415223"/>
    <w:rsid w:val="004156CB"/>
    <w:rsid w:val="00416B27"/>
    <w:rsid w:val="004202C4"/>
    <w:rsid w:val="0042520A"/>
    <w:rsid w:val="00425640"/>
    <w:rsid w:val="00435703"/>
    <w:rsid w:val="00452404"/>
    <w:rsid w:val="00456DF7"/>
    <w:rsid w:val="00490540"/>
    <w:rsid w:val="004A5E3A"/>
    <w:rsid w:val="004B2E90"/>
    <w:rsid w:val="004C1ED7"/>
    <w:rsid w:val="005059F8"/>
    <w:rsid w:val="00527FEB"/>
    <w:rsid w:val="00536FB2"/>
    <w:rsid w:val="0056330F"/>
    <w:rsid w:val="0057328E"/>
    <w:rsid w:val="00590967"/>
    <w:rsid w:val="005D2709"/>
    <w:rsid w:val="005E76AA"/>
    <w:rsid w:val="0060212E"/>
    <w:rsid w:val="00647CD0"/>
    <w:rsid w:val="006600AD"/>
    <w:rsid w:val="00664DBF"/>
    <w:rsid w:val="00667585"/>
    <w:rsid w:val="00670373"/>
    <w:rsid w:val="00682EC3"/>
    <w:rsid w:val="00696480"/>
    <w:rsid w:val="00696EEE"/>
    <w:rsid w:val="006A50E3"/>
    <w:rsid w:val="006E3E9C"/>
    <w:rsid w:val="0071126E"/>
    <w:rsid w:val="00713C4D"/>
    <w:rsid w:val="00714CA0"/>
    <w:rsid w:val="0072210F"/>
    <w:rsid w:val="007252B7"/>
    <w:rsid w:val="00745811"/>
    <w:rsid w:val="00757FED"/>
    <w:rsid w:val="00771876"/>
    <w:rsid w:val="00784369"/>
    <w:rsid w:val="00791587"/>
    <w:rsid w:val="007A1433"/>
    <w:rsid w:val="007A1E0C"/>
    <w:rsid w:val="007B76D0"/>
    <w:rsid w:val="007C2F8A"/>
    <w:rsid w:val="007E6C87"/>
    <w:rsid w:val="0080193F"/>
    <w:rsid w:val="0080220C"/>
    <w:rsid w:val="00817AB2"/>
    <w:rsid w:val="00826FED"/>
    <w:rsid w:val="00832450"/>
    <w:rsid w:val="008565CA"/>
    <w:rsid w:val="008646D1"/>
    <w:rsid w:val="00871800"/>
    <w:rsid w:val="008722DB"/>
    <w:rsid w:val="00872911"/>
    <w:rsid w:val="00885569"/>
    <w:rsid w:val="00892048"/>
    <w:rsid w:val="008A3785"/>
    <w:rsid w:val="008B7FCA"/>
    <w:rsid w:val="008C72FD"/>
    <w:rsid w:val="00906FE2"/>
    <w:rsid w:val="00912EB9"/>
    <w:rsid w:val="00913E01"/>
    <w:rsid w:val="0091618C"/>
    <w:rsid w:val="00920562"/>
    <w:rsid w:val="009231DB"/>
    <w:rsid w:val="00933B5B"/>
    <w:rsid w:val="0097609D"/>
    <w:rsid w:val="00982F2F"/>
    <w:rsid w:val="009C5E59"/>
    <w:rsid w:val="00A01A47"/>
    <w:rsid w:val="00A076B7"/>
    <w:rsid w:val="00A30161"/>
    <w:rsid w:val="00A413EC"/>
    <w:rsid w:val="00A5206C"/>
    <w:rsid w:val="00A702AE"/>
    <w:rsid w:val="00A85A58"/>
    <w:rsid w:val="00A9660E"/>
    <w:rsid w:val="00AA38F9"/>
    <w:rsid w:val="00AA4133"/>
    <w:rsid w:val="00AC18D6"/>
    <w:rsid w:val="00AD2229"/>
    <w:rsid w:val="00AD279C"/>
    <w:rsid w:val="00AE7756"/>
    <w:rsid w:val="00AF3AFF"/>
    <w:rsid w:val="00B04DFC"/>
    <w:rsid w:val="00B06997"/>
    <w:rsid w:val="00B106BC"/>
    <w:rsid w:val="00B3085A"/>
    <w:rsid w:val="00B37054"/>
    <w:rsid w:val="00B52BFB"/>
    <w:rsid w:val="00B70DCC"/>
    <w:rsid w:val="00B81435"/>
    <w:rsid w:val="00B81763"/>
    <w:rsid w:val="00B81F5C"/>
    <w:rsid w:val="00B86402"/>
    <w:rsid w:val="00B935FF"/>
    <w:rsid w:val="00B93F99"/>
    <w:rsid w:val="00BA55BE"/>
    <w:rsid w:val="00BB3559"/>
    <w:rsid w:val="00C17845"/>
    <w:rsid w:val="00C21CA4"/>
    <w:rsid w:val="00C22708"/>
    <w:rsid w:val="00C2311B"/>
    <w:rsid w:val="00C249B4"/>
    <w:rsid w:val="00C57989"/>
    <w:rsid w:val="00C77361"/>
    <w:rsid w:val="00C811AB"/>
    <w:rsid w:val="00C90778"/>
    <w:rsid w:val="00CD203A"/>
    <w:rsid w:val="00CD4CFC"/>
    <w:rsid w:val="00D1373C"/>
    <w:rsid w:val="00D14024"/>
    <w:rsid w:val="00D22AB5"/>
    <w:rsid w:val="00D37326"/>
    <w:rsid w:val="00D54B78"/>
    <w:rsid w:val="00D614D5"/>
    <w:rsid w:val="00DB18A1"/>
    <w:rsid w:val="00DD2CD3"/>
    <w:rsid w:val="00DE3FE4"/>
    <w:rsid w:val="00DE6E1B"/>
    <w:rsid w:val="00DF12EF"/>
    <w:rsid w:val="00DF15F6"/>
    <w:rsid w:val="00E127F5"/>
    <w:rsid w:val="00E13296"/>
    <w:rsid w:val="00E26A5C"/>
    <w:rsid w:val="00E44382"/>
    <w:rsid w:val="00E5649E"/>
    <w:rsid w:val="00E65D44"/>
    <w:rsid w:val="00E935D6"/>
    <w:rsid w:val="00EA2013"/>
    <w:rsid w:val="00EB4139"/>
    <w:rsid w:val="00EB69A3"/>
    <w:rsid w:val="00EF7454"/>
    <w:rsid w:val="00F01D6D"/>
    <w:rsid w:val="00F03CD2"/>
    <w:rsid w:val="00F123AD"/>
    <w:rsid w:val="00F12877"/>
    <w:rsid w:val="00F2161A"/>
    <w:rsid w:val="00F36293"/>
    <w:rsid w:val="00F37FF9"/>
    <w:rsid w:val="00F41061"/>
    <w:rsid w:val="00F46752"/>
    <w:rsid w:val="00F54541"/>
    <w:rsid w:val="00F74E59"/>
    <w:rsid w:val="00F80C2F"/>
    <w:rsid w:val="00F927E9"/>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03D5"/>
  <w15:chartTrackingRefBased/>
  <w15:docId w15:val="{47E0826E-C27A-42C5-8419-BF31E64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B"/>
    <w:pPr>
      <w:spacing w:after="227" w:line="240" w:lineRule="auto"/>
    </w:pPr>
    <w:rPr>
      <w:color w:val="071D49" w:themeColor="text1"/>
      <w:sz w:val="18"/>
    </w:rPr>
  </w:style>
  <w:style w:type="paragraph" w:styleId="Heading1">
    <w:name w:val="heading 1"/>
    <w:basedOn w:val="Normal"/>
    <w:next w:val="Normal"/>
    <w:link w:val="Heading1Char"/>
    <w:uiPriority w:val="9"/>
    <w:qFormat/>
    <w:rsid w:val="003D64B1"/>
    <w:pPr>
      <w:keepNext/>
      <w:keepLines/>
      <w:spacing w:after="1680" w:line="420" w:lineRule="exac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F51BE"/>
    <w:pPr>
      <w:keepNext/>
      <w:keepLines/>
      <w:spacing w:after="80"/>
      <w:outlineLvl w:val="1"/>
    </w:pPr>
    <w:rPr>
      <w:rFonts w:asciiTheme="majorHAnsi" w:eastAsiaTheme="majorEastAsia" w:hAnsiTheme="majorHAnsi" w:cstheme="majorBidi"/>
      <w:b/>
      <w:color w:val="E40046" w:themeColor="text2"/>
      <w:szCs w:val="26"/>
    </w:rPr>
  </w:style>
  <w:style w:type="paragraph" w:styleId="Heading3">
    <w:name w:val="heading 3"/>
    <w:basedOn w:val="Normal"/>
    <w:next w:val="Normal"/>
    <w:link w:val="Heading3Char"/>
    <w:uiPriority w:val="9"/>
    <w:semiHidden/>
    <w:unhideWhenUsed/>
    <w:qFormat/>
    <w:rsid w:val="00527FEB"/>
    <w:pPr>
      <w:keepNext/>
      <w:keepLines/>
      <w:spacing w:before="40" w:after="0"/>
      <w:outlineLvl w:val="2"/>
    </w:pPr>
    <w:rPr>
      <w:rFonts w:asciiTheme="majorHAnsi" w:eastAsiaTheme="majorEastAsia" w:hAnsiTheme="majorHAnsi" w:cstheme="majorBidi"/>
      <w:color w:val="7100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9B4"/>
    <w:pPr>
      <w:spacing w:after="240" w:line="158" w:lineRule="auto"/>
      <w:contextualSpacing/>
    </w:pPr>
    <w:rPr>
      <w:rFonts w:ascii="ViiV BETA" w:eastAsiaTheme="majorEastAsia" w:hAnsi="ViiV BETA" w:cstheme="majorBidi"/>
      <w:caps/>
      <w:spacing w:val="-20"/>
      <w:kern w:val="28"/>
      <w:sz w:val="144"/>
      <w:szCs w:val="56"/>
    </w:rPr>
  </w:style>
  <w:style w:type="character" w:customStyle="1" w:styleId="TitleChar">
    <w:name w:val="Title Char"/>
    <w:basedOn w:val="DefaultParagraphFont"/>
    <w:link w:val="Title"/>
    <w:uiPriority w:val="10"/>
    <w:rsid w:val="00C249B4"/>
    <w:rPr>
      <w:rFonts w:ascii="ViiV BETA" w:eastAsiaTheme="majorEastAsia" w:hAnsi="ViiV BETA" w:cstheme="majorBidi"/>
      <w:caps/>
      <w:color w:val="071D49" w:themeColor="text1"/>
      <w:spacing w:val="-20"/>
      <w:kern w:val="28"/>
      <w:sz w:val="144"/>
      <w:szCs w:val="56"/>
    </w:rPr>
  </w:style>
  <w:style w:type="paragraph" w:customStyle="1" w:styleId="TItleSub">
    <w:name w:val="TItle_Sub"/>
    <w:basedOn w:val="Normal"/>
    <w:qFormat/>
    <w:rsid w:val="00A5206C"/>
    <w:rPr>
      <w:sz w:val="48"/>
    </w:rPr>
  </w:style>
  <w:style w:type="paragraph" w:customStyle="1" w:styleId="TitleWhite">
    <w:name w:val="Title_White"/>
    <w:basedOn w:val="Title"/>
    <w:qFormat/>
    <w:rsid w:val="00C249B4"/>
    <w:rPr>
      <w:color w:val="FFFFFF" w:themeColor="background1"/>
    </w:rPr>
  </w:style>
  <w:style w:type="paragraph" w:customStyle="1" w:styleId="TitleSubWhite">
    <w:name w:val="Title_Sub_White"/>
    <w:basedOn w:val="TItleSub"/>
    <w:qFormat/>
    <w:rsid w:val="00A5206C"/>
    <w:rPr>
      <w:color w:val="FFFFFF" w:themeColor="background1"/>
    </w:rPr>
  </w:style>
  <w:style w:type="paragraph" w:styleId="Header">
    <w:name w:val="header"/>
    <w:basedOn w:val="Normal"/>
    <w:link w:val="HeaderChar"/>
    <w:uiPriority w:val="99"/>
    <w:unhideWhenUsed/>
    <w:rsid w:val="00DE6E1B"/>
    <w:pPr>
      <w:tabs>
        <w:tab w:val="center" w:pos="4513"/>
        <w:tab w:val="right" w:pos="9026"/>
      </w:tabs>
      <w:spacing w:after="0"/>
    </w:pPr>
    <w:rPr>
      <w:color w:val="989FA1" w:themeColor="background2" w:themeShade="BF"/>
      <w:sz w:val="15"/>
    </w:rPr>
  </w:style>
  <w:style w:type="character" w:customStyle="1" w:styleId="HeaderChar">
    <w:name w:val="Header Char"/>
    <w:basedOn w:val="DefaultParagraphFont"/>
    <w:link w:val="Header"/>
    <w:uiPriority w:val="99"/>
    <w:rsid w:val="00DE6E1B"/>
    <w:rPr>
      <w:color w:val="989FA1" w:themeColor="background2" w:themeShade="BF"/>
      <w:sz w:val="15"/>
    </w:rPr>
  </w:style>
  <w:style w:type="paragraph" w:styleId="Footer">
    <w:name w:val="footer"/>
    <w:basedOn w:val="Normal"/>
    <w:link w:val="FooterChar"/>
    <w:uiPriority w:val="99"/>
    <w:unhideWhenUsed/>
    <w:rsid w:val="00DE6E1B"/>
    <w:pPr>
      <w:tabs>
        <w:tab w:val="center" w:pos="4513"/>
        <w:tab w:val="right" w:pos="9026"/>
      </w:tabs>
      <w:spacing w:after="0"/>
    </w:pPr>
    <w:rPr>
      <w:color w:val="989FA1" w:themeColor="background2" w:themeShade="BF"/>
      <w:sz w:val="14"/>
    </w:rPr>
  </w:style>
  <w:style w:type="character" w:customStyle="1" w:styleId="FooterChar">
    <w:name w:val="Footer Char"/>
    <w:basedOn w:val="DefaultParagraphFont"/>
    <w:link w:val="Footer"/>
    <w:uiPriority w:val="99"/>
    <w:rsid w:val="00DE6E1B"/>
    <w:rPr>
      <w:color w:val="989FA1" w:themeColor="background2" w:themeShade="BF"/>
      <w:sz w:val="14"/>
    </w:rPr>
  </w:style>
  <w:style w:type="character" w:styleId="PlaceholderText">
    <w:name w:val="Placeholder Text"/>
    <w:basedOn w:val="DefaultParagraphFont"/>
    <w:uiPriority w:val="99"/>
    <w:semiHidden/>
    <w:rsid w:val="00112DC0"/>
    <w:rPr>
      <w:color w:val="808080"/>
    </w:rPr>
  </w:style>
  <w:style w:type="table" w:styleId="TableGrid">
    <w:name w:val="Table Grid"/>
    <w:aliases w:val="Viiv_Table,New3"/>
    <w:basedOn w:val="TableNormal"/>
    <w:uiPriority w:val="39"/>
    <w:rsid w:val="002A6185"/>
    <w:pPr>
      <w:spacing w:after="0" w:line="240" w:lineRule="auto"/>
    </w:pPr>
    <w:rPr>
      <w:sz w:val="18"/>
    </w:rPr>
    <w:tblPr>
      <w:tblStyleRowBandSize w:val="1"/>
    </w:tblPr>
    <w:tblStylePr w:type="firstRow">
      <w:rPr>
        <w:rFonts w:asciiTheme="minorHAnsi" w:hAnsiTheme="minorHAnsi"/>
        <w:color w:val="FFFFFF" w:themeColor="background1"/>
        <w:sz w:val="18"/>
      </w:rPr>
      <w:tblPr/>
      <w:tcPr>
        <w:shd w:val="clear" w:color="auto" w:fill="E40046" w:themeFill="accent1"/>
      </w:tcPr>
    </w:tblStylePr>
    <w:tblStylePr w:type="band2Horz">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3D64B1"/>
    <w:rPr>
      <w:rFonts w:asciiTheme="majorHAnsi" w:eastAsiaTheme="majorEastAsia" w:hAnsiTheme="majorHAnsi" w:cstheme="majorBidi"/>
      <w:b/>
      <w:color w:val="071D49" w:themeColor="text1"/>
      <w:sz w:val="36"/>
      <w:szCs w:val="32"/>
    </w:rPr>
  </w:style>
  <w:style w:type="paragraph" w:customStyle="1" w:styleId="Contentsheading">
    <w:name w:val="Contents_heading"/>
    <w:basedOn w:val="Heading1"/>
    <w:qFormat/>
    <w:rsid w:val="003D64B1"/>
  </w:style>
  <w:style w:type="paragraph" w:styleId="TOCHeading">
    <w:name w:val="TOC Heading"/>
    <w:basedOn w:val="Heading1"/>
    <w:next w:val="Normal"/>
    <w:uiPriority w:val="39"/>
    <w:unhideWhenUsed/>
    <w:qFormat/>
    <w:rsid w:val="00647CD0"/>
    <w:pPr>
      <w:spacing w:before="240" w:after="0"/>
      <w:outlineLvl w:val="9"/>
    </w:pPr>
    <w:rPr>
      <w:b w:val="0"/>
      <w:color w:val="AA0034" w:themeColor="accent1" w:themeShade="BF"/>
      <w:sz w:val="32"/>
      <w:lang w:val="en-US"/>
    </w:rPr>
  </w:style>
  <w:style w:type="paragraph" w:styleId="TOC1">
    <w:name w:val="toc 1"/>
    <w:basedOn w:val="Normal"/>
    <w:next w:val="Normal"/>
    <w:autoRedefine/>
    <w:uiPriority w:val="39"/>
    <w:unhideWhenUsed/>
    <w:rsid w:val="00745811"/>
    <w:pPr>
      <w:tabs>
        <w:tab w:val="right" w:pos="7258"/>
      </w:tabs>
      <w:spacing w:after="240"/>
    </w:pPr>
    <w:rPr>
      <w:b/>
      <w:noProof/>
    </w:rPr>
  </w:style>
  <w:style w:type="character" w:styleId="Hyperlink">
    <w:name w:val="Hyperlink"/>
    <w:basedOn w:val="DefaultParagraphFont"/>
    <w:uiPriority w:val="99"/>
    <w:unhideWhenUsed/>
    <w:rsid w:val="00647CD0"/>
    <w:rPr>
      <w:color w:val="0563C1" w:themeColor="hyperlink"/>
      <w:u w:val="single"/>
    </w:rPr>
  </w:style>
  <w:style w:type="paragraph" w:customStyle="1" w:styleId="Heading12lines">
    <w:name w:val="Heading 1 2 lines"/>
    <w:basedOn w:val="Heading1"/>
    <w:qFormat/>
    <w:rsid w:val="003D64B1"/>
    <w:pPr>
      <w:spacing w:after="0"/>
    </w:pPr>
  </w:style>
  <w:style w:type="paragraph" w:customStyle="1" w:styleId="Heading1subheading">
    <w:name w:val="Heading 1 subheading"/>
    <w:basedOn w:val="Heading12lines"/>
    <w:qFormat/>
    <w:rsid w:val="00DE6E1B"/>
    <w:pPr>
      <w:spacing w:after="1260"/>
    </w:pPr>
    <w:rPr>
      <w:b w:val="0"/>
      <w:sz w:val="32"/>
    </w:rPr>
  </w:style>
  <w:style w:type="character" w:customStyle="1" w:styleId="Heading2Char">
    <w:name w:val="Heading 2 Char"/>
    <w:basedOn w:val="DefaultParagraphFont"/>
    <w:link w:val="Heading2"/>
    <w:uiPriority w:val="9"/>
    <w:rsid w:val="001F51BE"/>
    <w:rPr>
      <w:rFonts w:asciiTheme="majorHAnsi" w:eastAsiaTheme="majorEastAsia" w:hAnsiTheme="majorHAnsi" w:cstheme="majorBidi"/>
      <w:b/>
      <w:color w:val="E40046" w:themeColor="text2"/>
      <w:sz w:val="18"/>
      <w:szCs w:val="26"/>
    </w:rPr>
  </w:style>
  <w:style w:type="paragraph" w:styleId="Quote">
    <w:name w:val="Quote"/>
    <w:basedOn w:val="Normal"/>
    <w:next w:val="Normal"/>
    <w:link w:val="QuoteChar"/>
    <w:uiPriority w:val="29"/>
    <w:qFormat/>
    <w:rsid w:val="00745811"/>
    <w:pPr>
      <w:pBdr>
        <w:top w:val="single" w:sz="4" w:space="10" w:color="E40046" w:themeColor="text2"/>
        <w:bottom w:val="single" w:sz="4" w:space="10" w:color="E40046" w:themeColor="text2"/>
      </w:pBdr>
      <w:spacing w:before="360" w:after="360" w:line="264" w:lineRule="auto"/>
    </w:pPr>
    <w:rPr>
      <w:iCs/>
      <w:color w:val="E40046" w:themeColor="text2"/>
      <w:sz w:val="26"/>
    </w:rPr>
  </w:style>
  <w:style w:type="character" w:customStyle="1" w:styleId="QuoteChar">
    <w:name w:val="Quote Char"/>
    <w:basedOn w:val="DefaultParagraphFont"/>
    <w:link w:val="Quote"/>
    <w:uiPriority w:val="29"/>
    <w:rsid w:val="00745811"/>
    <w:rPr>
      <w:iCs/>
      <w:color w:val="E40046" w:themeColor="text2"/>
      <w:sz w:val="26"/>
    </w:rPr>
  </w:style>
  <w:style w:type="character" w:customStyle="1" w:styleId="QuoteSignoffONLY">
    <w:name w:val="Quote Sign off ONLY"/>
    <w:basedOn w:val="DefaultParagraphFont"/>
    <w:uiPriority w:val="1"/>
    <w:qFormat/>
    <w:rsid w:val="001730B9"/>
    <w:rPr>
      <w:rFonts w:asciiTheme="minorHAnsi" w:hAnsiTheme="minorHAnsi"/>
      <w:i/>
      <w:color w:val="E40046" w:themeColor="text2"/>
      <w:sz w:val="18"/>
    </w:rPr>
  </w:style>
  <w:style w:type="paragraph" w:customStyle="1" w:styleId="Bulletlevel1">
    <w:name w:val="Bullet level 1"/>
    <w:basedOn w:val="Normal"/>
    <w:qFormat/>
    <w:rsid w:val="002A6185"/>
    <w:pPr>
      <w:numPr>
        <w:numId w:val="1"/>
      </w:numPr>
      <w:spacing w:after="60"/>
      <w:ind w:left="227" w:hanging="227"/>
    </w:pPr>
  </w:style>
  <w:style w:type="paragraph" w:customStyle="1" w:styleId="Bulletlevel2">
    <w:name w:val="Bullet level 2"/>
    <w:basedOn w:val="Bulletlevel1"/>
    <w:qFormat/>
    <w:rsid w:val="002A6185"/>
    <w:pPr>
      <w:ind w:left="454"/>
    </w:pPr>
  </w:style>
  <w:style w:type="paragraph" w:customStyle="1" w:styleId="Bulletlevel3">
    <w:name w:val="Bullet level 3"/>
    <w:basedOn w:val="Bulletlevel2"/>
    <w:qFormat/>
    <w:rsid w:val="002A6185"/>
    <w:pPr>
      <w:ind w:left="681"/>
    </w:pPr>
  </w:style>
  <w:style w:type="table" w:styleId="TableGridLight">
    <w:name w:val="Grid Table Light"/>
    <w:basedOn w:val="TableNormal"/>
    <w:uiPriority w:val="40"/>
    <w:rsid w:val="00696480"/>
    <w:pPr>
      <w:spacing w:after="0" w:line="240" w:lineRule="auto"/>
    </w:pPr>
    <w:rPr>
      <w:sz w:val="14"/>
    </w:rPr>
    <w:tblPr>
      <w:tblBorders>
        <w:bottom w:val="single" w:sz="4" w:space="0" w:color="D0D3D4" w:themeColor="background2"/>
      </w:tblBorders>
    </w:tblPr>
    <w:tcPr>
      <w:shd w:val="clear" w:color="auto" w:fill="FFFFFF" w:themeFill="background1"/>
    </w:tcPr>
  </w:style>
  <w:style w:type="table" w:styleId="ListTable1Light-Accent5">
    <w:name w:val="List Table 1 Light Accent 5"/>
    <w:basedOn w:val="TableNormal"/>
    <w:uiPriority w:val="46"/>
    <w:rsid w:val="002A6185"/>
    <w:pPr>
      <w:spacing w:after="0" w:line="240" w:lineRule="auto"/>
    </w:pPr>
    <w:tblPr>
      <w:tblStyleRowBandSize w:val="1"/>
      <w:tblStyleColBandSize w:val="1"/>
    </w:tblPr>
    <w:tblStylePr w:type="firstRow">
      <w:rPr>
        <w:b/>
        <w:bCs/>
      </w:rPr>
      <w:tblPr/>
      <w:tcPr>
        <w:tcBorders>
          <w:bottom w:val="single" w:sz="4" w:space="0" w:color="E2E4E5" w:themeColor="accent5" w:themeTint="99"/>
        </w:tcBorders>
      </w:tcPr>
    </w:tblStylePr>
    <w:tblStylePr w:type="lastRow">
      <w:rPr>
        <w:b/>
        <w:bCs/>
      </w:rPr>
      <w:tblPr/>
      <w:tcPr>
        <w:tcBorders>
          <w:top w:val="single" w:sz="4" w:space="0" w:color="E2E4E5" w:themeColor="accent5" w:themeTint="99"/>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paragraph" w:customStyle="1" w:styleId="TableHeaderright">
    <w:name w:val="TableHeader_right"/>
    <w:basedOn w:val="Normal"/>
    <w:qFormat/>
    <w:rsid w:val="001F51BE"/>
    <w:pPr>
      <w:spacing w:after="0"/>
      <w:jc w:val="right"/>
    </w:pPr>
    <w:rPr>
      <w:color w:val="FFFFFF" w:themeColor="background1"/>
    </w:rPr>
  </w:style>
  <w:style w:type="paragraph" w:customStyle="1" w:styleId="TableHeaderleft">
    <w:name w:val="TableHeader_left"/>
    <w:basedOn w:val="Normal"/>
    <w:qFormat/>
    <w:rsid w:val="001F51BE"/>
    <w:pPr>
      <w:spacing w:after="0"/>
    </w:pPr>
    <w:rPr>
      <w:color w:val="FFFFFF" w:themeColor="background1"/>
    </w:rPr>
  </w:style>
  <w:style w:type="paragraph" w:customStyle="1" w:styleId="Tabletext">
    <w:name w:val="Table text"/>
    <w:basedOn w:val="Normal"/>
    <w:qFormat/>
    <w:rsid w:val="001F51BE"/>
    <w:pPr>
      <w:spacing w:after="0"/>
    </w:pPr>
  </w:style>
  <w:style w:type="paragraph" w:customStyle="1" w:styleId="Tablefigues">
    <w:name w:val="Table_figues"/>
    <w:basedOn w:val="Tabletext"/>
    <w:qFormat/>
    <w:rsid w:val="001F51BE"/>
    <w:pPr>
      <w:jc w:val="right"/>
    </w:pPr>
  </w:style>
  <w:style w:type="paragraph" w:styleId="TOC2">
    <w:name w:val="toc 2"/>
    <w:basedOn w:val="Normal"/>
    <w:next w:val="Normal"/>
    <w:autoRedefine/>
    <w:uiPriority w:val="39"/>
    <w:unhideWhenUsed/>
    <w:rsid w:val="00745811"/>
    <w:pPr>
      <w:tabs>
        <w:tab w:val="right" w:pos="7258"/>
      </w:tabs>
      <w:spacing w:after="240" w:line="259" w:lineRule="auto"/>
      <w:ind w:left="284"/>
    </w:pPr>
    <w:rPr>
      <w:rFonts w:eastAsiaTheme="minorEastAsia" w:cs="Times New Roman"/>
      <w:lang w:val="en-US"/>
    </w:rPr>
  </w:style>
  <w:style w:type="paragraph" w:styleId="TOC3">
    <w:name w:val="toc 3"/>
    <w:basedOn w:val="Normal"/>
    <w:next w:val="Normal"/>
    <w:autoRedefine/>
    <w:uiPriority w:val="39"/>
    <w:unhideWhenUsed/>
    <w:rsid w:val="00745811"/>
    <w:pPr>
      <w:tabs>
        <w:tab w:val="right" w:pos="7258"/>
      </w:tabs>
      <w:spacing w:after="240" w:line="259" w:lineRule="auto"/>
      <w:ind w:left="567"/>
    </w:pPr>
    <w:rPr>
      <w:rFonts w:eastAsiaTheme="minorEastAsia" w:cs="Times New Roman"/>
      <w:lang w:val="en-US"/>
    </w:rPr>
  </w:style>
  <w:style w:type="character" w:customStyle="1" w:styleId="Heading3Char">
    <w:name w:val="Heading 3 Char"/>
    <w:basedOn w:val="DefaultParagraphFont"/>
    <w:link w:val="Heading3"/>
    <w:uiPriority w:val="9"/>
    <w:semiHidden/>
    <w:rsid w:val="00527FEB"/>
    <w:rPr>
      <w:rFonts w:asciiTheme="majorHAnsi" w:eastAsiaTheme="majorEastAsia" w:hAnsiTheme="majorHAnsi" w:cstheme="majorBidi"/>
      <w:color w:val="710022" w:themeColor="accent1" w:themeShade="7F"/>
      <w:sz w:val="24"/>
      <w:szCs w:val="24"/>
    </w:rPr>
  </w:style>
  <w:style w:type="paragraph" w:styleId="BalloonText">
    <w:name w:val="Balloon Text"/>
    <w:basedOn w:val="Normal"/>
    <w:link w:val="BalloonTextChar"/>
    <w:uiPriority w:val="99"/>
    <w:semiHidden/>
    <w:unhideWhenUsed/>
    <w:rsid w:val="00C249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9B4"/>
    <w:rPr>
      <w:rFonts w:ascii="Segoe UI" w:hAnsi="Segoe UI" w:cs="Segoe UI"/>
      <w:color w:val="071D49" w:themeColor="text1"/>
      <w:sz w:val="18"/>
      <w:szCs w:val="18"/>
    </w:rPr>
  </w:style>
  <w:style w:type="paragraph" w:customStyle="1" w:styleId="QuotewithSignoff">
    <w:name w:val="Quote_withSignoff"/>
    <w:basedOn w:val="Quote"/>
    <w:qFormat/>
    <w:rsid w:val="00745811"/>
    <w:pPr>
      <w:pBdr>
        <w:bottom w:val="none" w:sz="0" w:space="0" w:color="auto"/>
      </w:pBdr>
      <w:spacing w:after="120"/>
    </w:pPr>
  </w:style>
  <w:style w:type="paragraph" w:customStyle="1" w:styleId="QuoteSignOff">
    <w:name w:val="Quote_SignOff"/>
    <w:basedOn w:val="QuotewithSignoff"/>
    <w:qFormat/>
    <w:rsid w:val="00F41061"/>
    <w:pPr>
      <w:pBdr>
        <w:top w:val="none" w:sz="0" w:space="0" w:color="auto"/>
        <w:bottom w:val="single" w:sz="4" w:space="11" w:color="E40046" w:themeColor="text2"/>
      </w:pBdr>
      <w:spacing w:before="120" w:after="240"/>
    </w:pPr>
    <w:rPr>
      <w:sz w:val="18"/>
    </w:rPr>
  </w:style>
  <w:style w:type="paragraph" w:customStyle="1" w:styleId="Contactname">
    <w:name w:val="Contact_name"/>
    <w:basedOn w:val="Normal"/>
    <w:qFormat/>
    <w:rsid w:val="00E13296"/>
    <w:pPr>
      <w:spacing w:after="0"/>
    </w:pPr>
    <w:rPr>
      <w:rFonts w:ascii="ViiV BETA" w:hAnsi="ViiV BETA"/>
      <w:sz w:val="22"/>
    </w:rPr>
  </w:style>
  <w:style w:type="paragraph" w:customStyle="1" w:styleId="Contactdetails">
    <w:name w:val="Contact_details"/>
    <w:basedOn w:val="Normal"/>
    <w:qFormat/>
    <w:rsid w:val="005059F8"/>
    <w:pPr>
      <w:spacing w:after="0"/>
    </w:pPr>
  </w:style>
  <w:style w:type="paragraph" w:customStyle="1" w:styleId="TitleBASIC">
    <w:name w:val="Title_BASIC"/>
    <w:basedOn w:val="Title"/>
    <w:qFormat/>
    <w:rsid w:val="00B37054"/>
    <w:rPr>
      <w:rFonts w:ascii="Breakthrough" w:hAnsi="Breakthrough"/>
      <w:sz w:val="108"/>
    </w:rPr>
  </w:style>
  <w:style w:type="paragraph" w:customStyle="1" w:styleId="Title-SubBASIC">
    <w:name w:val="Title-Sub_BASIC"/>
    <w:basedOn w:val="TItleSub"/>
    <w:qFormat/>
    <w:rsid w:val="004156CB"/>
    <w:rPr>
      <w:sz w:val="36"/>
    </w:rPr>
  </w:style>
  <w:style w:type="paragraph" w:customStyle="1" w:styleId="Body1">
    <w:name w:val="Body 1"/>
    <w:rsid w:val="00682EC3"/>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CommentText">
    <w:name w:val="annotation text"/>
    <w:basedOn w:val="Normal"/>
    <w:link w:val="CommentTextChar"/>
    <w:uiPriority w:val="99"/>
    <w:rsid w:val="00682EC3"/>
    <w:pPr>
      <w:spacing w:after="0"/>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682EC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82EC3"/>
    <w:pPr>
      <w:spacing w:after="0"/>
      <w:ind w:left="720"/>
      <w:contextualSpacing/>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682EC3"/>
    <w:rPr>
      <w:rFonts w:ascii="Times New Roman" w:eastAsia="Times New Roman" w:hAnsi="Times New Roman" w:cs="Times New Roman"/>
      <w:sz w:val="24"/>
      <w:szCs w:val="24"/>
      <w:lang w:val="en-US"/>
    </w:rPr>
  </w:style>
  <w:style w:type="paragraph" w:customStyle="1" w:styleId="Tabletext9">
    <w:name w:val="!Tabletext9"/>
    <w:basedOn w:val="Normal"/>
    <w:rsid w:val="00682EC3"/>
    <w:pPr>
      <w:overflowPunct w:val="0"/>
      <w:autoSpaceDE w:val="0"/>
      <w:autoSpaceDN w:val="0"/>
      <w:adjustRightInd w:val="0"/>
      <w:spacing w:before="40" w:after="40"/>
      <w:textAlignment w:val="baseline"/>
    </w:pPr>
    <w:rPr>
      <w:rFonts w:ascii="Helvetica" w:eastAsia="Times New Roman" w:hAnsi="Helvetica" w:cs="Times New Roman"/>
      <w:color w:val="auto"/>
      <w:kern w:val="2"/>
      <w:szCs w:val="24"/>
    </w:rPr>
  </w:style>
  <w:style w:type="character" w:styleId="UnresolvedMention">
    <w:name w:val="Unresolved Mention"/>
    <w:basedOn w:val="DefaultParagraphFont"/>
    <w:uiPriority w:val="99"/>
    <w:semiHidden/>
    <w:unhideWhenUsed/>
    <w:rsid w:val="00826FED"/>
    <w:rPr>
      <w:color w:val="605E5C"/>
      <w:shd w:val="clear" w:color="auto" w:fill="E1DFDD"/>
    </w:rPr>
  </w:style>
  <w:style w:type="character" w:styleId="FollowedHyperlink">
    <w:name w:val="FollowedHyperlink"/>
    <w:basedOn w:val="DefaultParagraphFont"/>
    <w:uiPriority w:val="99"/>
    <w:semiHidden/>
    <w:unhideWhenUsed/>
    <w:rsid w:val="00F12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1438">
      <w:bodyDiv w:val="1"/>
      <w:marLeft w:val="0"/>
      <w:marRight w:val="0"/>
      <w:marTop w:val="0"/>
      <w:marBottom w:val="0"/>
      <w:divBdr>
        <w:top w:val="none" w:sz="0" w:space="0" w:color="auto"/>
        <w:left w:val="none" w:sz="0" w:space="0" w:color="auto"/>
        <w:bottom w:val="none" w:sz="0" w:space="0" w:color="auto"/>
        <w:right w:val="none" w:sz="0" w:space="0" w:color="auto"/>
      </w:divBdr>
    </w:div>
    <w:div w:id="9234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ivhealthcare.com/es-es/bienvenido/national-policy/" TargetMode="External"/><Relationship Id="rId13" Type="http://schemas.openxmlformats.org/officeDocument/2006/relationships/hyperlink" Target="https://www.viiv-vih.com/terminos-de-uso-de-viiv-health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health@sihealth.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gsk.com/es-es/profesionales-sanitarios/publicacion-de-colaboracio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ivhealthcare.com/es-es/bienvenido/national-policy/" TargetMode="External"/><Relationship Id="rId5" Type="http://schemas.openxmlformats.org/officeDocument/2006/relationships/webSettings" Target="webSettings.xml"/><Relationship Id="rId15" Type="http://schemas.openxmlformats.org/officeDocument/2006/relationships/hyperlink" Target="https://es.gsk.com/es-es/profesionales-sanitarios/publicacion-de-colaboraciones/" TargetMode="External"/><Relationship Id="rId10" Type="http://schemas.openxmlformats.org/officeDocument/2006/relationships/hyperlink" Target="mailto:sihealth@sihealth.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ihealth@sihealth.es" TargetMode="External"/><Relationship Id="rId14" Type="http://schemas.openxmlformats.org/officeDocument/2006/relationships/hyperlink" Target="mailto:es.arco-general@viivhealthcar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ViiV_Word_Template_BASIC.dotx" TargetMode="External"/></Relationships>
</file>

<file path=word/theme/theme1.xml><?xml version="1.0" encoding="utf-8"?>
<a:theme xmlns:a="http://schemas.openxmlformats.org/drawingml/2006/main" name="Office Theme">
  <a:themeElements>
    <a:clrScheme name="ViiV">
      <a:dk1>
        <a:srgbClr val="071D49"/>
      </a:dk1>
      <a:lt1>
        <a:sysClr val="window" lastClr="FFFFFF"/>
      </a:lt1>
      <a:dk2>
        <a:srgbClr val="E40046"/>
      </a:dk2>
      <a:lt2>
        <a:srgbClr val="D0D3D4"/>
      </a:lt2>
      <a:accent1>
        <a:srgbClr val="E40046"/>
      </a:accent1>
      <a:accent2>
        <a:srgbClr val="5BC2E7"/>
      </a:accent2>
      <a:accent3>
        <a:srgbClr val="7A2082"/>
      </a:accent3>
      <a:accent4>
        <a:srgbClr val="000000"/>
      </a:accent4>
      <a:accent5>
        <a:srgbClr val="D0D3D4"/>
      </a:accent5>
      <a:accent6>
        <a:srgbClr val="5BC2E7"/>
      </a:accent6>
      <a:hlink>
        <a:srgbClr val="0563C1"/>
      </a:hlink>
      <a:folHlink>
        <a:srgbClr val="954F72"/>
      </a:folHlink>
    </a:clrScheme>
    <a:fontScheme name="ViiV">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A88F-6C9B-41FF-8591-A135998A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ViiV_Word_Template_BASIC</Template>
  <TotalTime>131</TotalTime>
  <Pages>9</Pages>
  <Words>4582</Words>
  <Characters>25205</Characters>
  <Application>Microsoft Office Word</Application>
  <DocSecurity>0</DocSecurity>
  <Lines>210</Lines>
  <Paragraphs>59</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is793644</dc:creator>
  <cp:keywords/>
  <dc:description/>
  <cp:lastModifiedBy>Angela Barea</cp:lastModifiedBy>
  <cp:revision>29</cp:revision>
  <cp:lastPrinted>2021-04-14T15:40:00Z</cp:lastPrinted>
  <dcterms:created xsi:type="dcterms:W3CDTF">2023-03-06T12:11:00Z</dcterms:created>
  <dcterms:modified xsi:type="dcterms:W3CDTF">2024-04-19T07:52:00Z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a66b2b-af80-48b6-873b-d341d3035cfa_Enabled">
    <vt:lpwstr>true</vt:lpwstr>
  </property>
  <property fmtid="{D5CDD505-2E9C-101B-9397-08002B2CF9AE}" pid="3" name="MSIP_Label_bea66b2b-af80-48b6-873b-d341d3035cfa_SetDate">
    <vt:lpwstr>2024-04-12T14:29:36Z</vt:lpwstr>
  </property>
  <property fmtid="{D5CDD505-2E9C-101B-9397-08002B2CF9AE}" pid="4" name="MSIP_Label_bea66b2b-af80-48b6-873b-d341d3035cfa_Method">
    <vt:lpwstr>Standard</vt:lpwstr>
  </property>
  <property fmtid="{D5CDD505-2E9C-101B-9397-08002B2CF9AE}" pid="5" name="MSIP_Label_bea66b2b-af80-48b6-873b-d341d3035cfa_Name">
    <vt:lpwstr>Proprietary</vt:lpwstr>
  </property>
  <property fmtid="{D5CDD505-2E9C-101B-9397-08002B2CF9AE}" pid="6" name="MSIP_Label_bea66b2b-af80-48b6-873b-d341d3035cfa_SiteId">
    <vt:lpwstr>63982aff-fb6c-4c22-973b-70e4acfb63e6</vt:lpwstr>
  </property>
  <property fmtid="{D5CDD505-2E9C-101B-9397-08002B2CF9AE}" pid="7" name="MSIP_Label_bea66b2b-af80-48b6-873b-d341d3035cfa_ActionId">
    <vt:lpwstr>af7101ae-e2f2-4f0c-98de-761b92b26374</vt:lpwstr>
  </property>
  <property fmtid="{D5CDD505-2E9C-101B-9397-08002B2CF9AE}" pid="8" name="MSIP_Label_bea66b2b-af80-48b6-873b-d341d3035cfa_ContentBits">
    <vt:lpwstr>0</vt:lpwstr>
  </property>
</Properties>
</file>